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D8767" w14:textId="77777777" w:rsidR="00F84F12" w:rsidRDefault="00F84F12" w:rsidP="006C3CDD">
      <w:pPr>
        <w:jc w:val="center"/>
        <w:rPr>
          <w:b/>
        </w:rPr>
      </w:pPr>
    </w:p>
    <w:p w14:paraId="5C5D548F" w14:textId="35AC4C07" w:rsidR="006C3CDD" w:rsidRPr="006C3CDD" w:rsidRDefault="006C3CDD" w:rsidP="006C3CDD">
      <w:pPr>
        <w:jc w:val="center"/>
        <w:rPr>
          <w:b/>
        </w:rPr>
      </w:pPr>
      <w:r w:rsidRPr="006C3CDD">
        <w:rPr>
          <w:b/>
        </w:rPr>
        <w:t>Terms of Reference</w:t>
      </w:r>
    </w:p>
    <w:p w14:paraId="0381E7F7" w14:textId="77777777" w:rsidR="006C3CDD" w:rsidRPr="006C3CDD" w:rsidRDefault="006C3CDD" w:rsidP="006C3CDD">
      <w:pPr>
        <w:jc w:val="center"/>
        <w:rPr>
          <w:b/>
        </w:rPr>
      </w:pPr>
      <w:r w:rsidRPr="006C3CDD">
        <w:rPr>
          <w:b/>
        </w:rPr>
        <w:t>Consultant</w:t>
      </w:r>
    </w:p>
    <w:p w14:paraId="29ACA56E" w14:textId="77777777" w:rsidR="008A49C6" w:rsidRDefault="006C3CDD" w:rsidP="006C3CDD">
      <w:pPr>
        <w:jc w:val="center"/>
      </w:pPr>
      <w:r w:rsidRPr="006C3CDD">
        <w:rPr>
          <w:b/>
        </w:rPr>
        <w:t xml:space="preserve">Needs-based Finance (NBF) Project </w:t>
      </w:r>
      <w:r w:rsidR="006327F3">
        <w:rPr>
          <w:b/>
        </w:rPr>
        <w:t>-</w:t>
      </w:r>
      <w:r w:rsidR="00FB0D2A">
        <w:rPr>
          <w:b/>
        </w:rPr>
        <w:t xml:space="preserve"> Dominican Republic</w:t>
      </w:r>
    </w:p>
    <w:p w14:paraId="5F53375D" w14:textId="77777777" w:rsidR="008A49C6" w:rsidRPr="001D012C" w:rsidRDefault="00E85B65" w:rsidP="008A49C6">
      <w:pPr>
        <w:autoSpaceDE w:val="0"/>
        <w:autoSpaceDN w:val="0"/>
        <w:adjustRightInd w:val="0"/>
        <w:spacing w:line="276" w:lineRule="auto"/>
        <w:jc w:val="both"/>
        <w:rPr>
          <w:rFonts w:cs="Arial"/>
        </w:rPr>
      </w:pPr>
      <w:r w:rsidRPr="00E85B65">
        <w:rPr>
          <w:rFonts w:cs="Arial"/>
        </w:rPr>
        <w:t>The Windward Islands Research and Education Foundation</w:t>
      </w:r>
      <w:r>
        <w:rPr>
          <w:rFonts w:cs="Arial"/>
        </w:rPr>
        <w:t xml:space="preserve"> (</w:t>
      </w:r>
      <w:r w:rsidR="008A49C6" w:rsidRPr="001D012C">
        <w:rPr>
          <w:rFonts w:cs="Arial"/>
        </w:rPr>
        <w:t>WINDREF</w:t>
      </w:r>
      <w:r>
        <w:rPr>
          <w:rFonts w:cs="Arial"/>
        </w:rPr>
        <w:t>)</w:t>
      </w:r>
      <w:r w:rsidR="008A49C6" w:rsidRPr="001D012C">
        <w:rPr>
          <w:rFonts w:cs="Arial"/>
        </w:rPr>
        <w:t xml:space="preserve"> is an independent nonprofit organization located on the TrueBlue campus of the St. George’s University (SGU), School of Medicine, Grenada. WINDREF since the year 2013 has partnered with UNFCCC to establish the </w:t>
      </w:r>
      <w:r>
        <w:rPr>
          <w:rFonts w:cs="Arial"/>
        </w:rPr>
        <w:t xml:space="preserve">Caribbean </w:t>
      </w:r>
      <w:r w:rsidR="008A49C6" w:rsidRPr="001D012C">
        <w:rPr>
          <w:rFonts w:cs="Arial"/>
        </w:rPr>
        <w:t xml:space="preserve">Regional Collaboration Centre for in St George’s (RCC St George’s) Grenada. </w:t>
      </w:r>
      <w:bookmarkStart w:id="0" w:name="_GoBack"/>
      <w:bookmarkEnd w:id="0"/>
    </w:p>
    <w:p w14:paraId="167FD2CA" w14:textId="23B21ECB" w:rsidR="008A49C6" w:rsidRDefault="008A49C6" w:rsidP="001D012C">
      <w:pPr>
        <w:autoSpaceDE w:val="0"/>
        <w:autoSpaceDN w:val="0"/>
        <w:adjustRightInd w:val="0"/>
        <w:spacing w:line="276" w:lineRule="auto"/>
        <w:jc w:val="both"/>
        <w:rPr>
          <w:rFonts w:cs="Arial"/>
        </w:rPr>
      </w:pPr>
      <w:r w:rsidRPr="001D012C">
        <w:rPr>
          <w:rFonts w:cs="Arial"/>
        </w:rPr>
        <w:t xml:space="preserve">The RCC St George’s is one of </w:t>
      </w:r>
      <w:r w:rsidR="00FB0D2A">
        <w:rPr>
          <w:rFonts w:cs="Arial"/>
        </w:rPr>
        <w:t xml:space="preserve">six </w:t>
      </w:r>
      <w:r w:rsidR="00FB0D2A" w:rsidRPr="001D012C">
        <w:rPr>
          <w:rFonts w:cs="Arial"/>
        </w:rPr>
        <w:t>Regional</w:t>
      </w:r>
      <w:r w:rsidRPr="001D012C">
        <w:rPr>
          <w:rFonts w:cs="Arial"/>
        </w:rPr>
        <w:t xml:space="preserve"> Cent</w:t>
      </w:r>
      <w:r w:rsidR="009D17EB">
        <w:rPr>
          <w:rFonts w:cs="Arial"/>
        </w:rPr>
        <w:t>er</w:t>
      </w:r>
      <w:r w:rsidRPr="001D012C">
        <w:rPr>
          <w:rFonts w:cs="Arial"/>
        </w:rPr>
        <w:t xml:space="preserve">s established globally to provide support to governments, NGOs and the private sector to develop their mitigation efforts through capacity building, direct technical assistance, and advice in </w:t>
      </w:r>
      <w:r w:rsidR="002551B9">
        <w:rPr>
          <w:rFonts w:cs="Arial"/>
        </w:rPr>
        <w:t>L</w:t>
      </w:r>
      <w:r w:rsidRPr="001D012C">
        <w:rPr>
          <w:rFonts w:cs="Arial"/>
        </w:rPr>
        <w:t xml:space="preserve">ow </w:t>
      </w:r>
      <w:r w:rsidR="002551B9">
        <w:rPr>
          <w:rFonts w:cs="Arial"/>
        </w:rPr>
        <w:t>E</w:t>
      </w:r>
      <w:r w:rsidRPr="001D012C">
        <w:rPr>
          <w:rFonts w:cs="Arial"/>
        </w:rPr>
        <w:t xml:space="preserve">mission </w:t>
      </w:r>
      <w:r w:rsidR="002551B9">
        <w:rPr>
          <w:rFonts w:cs="Arial"/>
        </w:rPr>
        <w:t>D</w:t>
      </w:r>
      <w:r w:rsidRPr="001D012C">
        <w:rPr>
          <w:rFonts w:cs="Arial"/>
        </w:rPr>
        <w:t xml:space="preserve">evelopment </w:t>
      </w:r>
      <w:r w:rsidR="002551B9">
        <w:rPr>
          <w:rFonts w:cs="Arial"/>
        </w:rPr>
        <w:t>S</w:t>
      </w:r>
      <w:r w:rsidRPr="001D012C">
        <w:rPr>
          <w:rFonts w:cs="Arial"/>
        </w:rPr>
        <w:t>trategies</w:t>
      </w:r>
      <w:r w:rsidR="002551B9">
        <w:rPr>
          <w:rFonts w:cs="Arial"/>
        </w:rPr>
        <w:t xml:space="preserve"> (LEDS)</w:t>
      </w:r>
      <w:r w:rsidRPr="001D012C">
        <w:rPr>
          <w:rFonts w:cs="Arial"/>
        </w:rPr>
        <w:t xml:space="preserve">. Set up to spread the benefits of the Clean Development Mechanism (CDM), the RCCs have broadened their role since adoption of the Paris Climate Change Agreement in December 2015 supporting development and implementation of countries’ Nationally Determined Contributions to climate action under that agreement, with focus on markets and mechanisms. </w:t>
      </w:r>
    </w:p>
    <w:p w14:paraId="40C6475B" w14:textId="10088044" w:rsidR="000D2C9F" w:rsidRDefault="000D0992" w:rsidP="001D012C">
      <w:pPr>
        <w:autoSpaceDE w:val="0"/>
        <w:autoSpaceDN w:val="0"/>
        <w:adjustRightInd w:val="0"/>
        <w:spacing w:line="276" w:lineRule="auto"/>
        <w:jc w:val="both"/>
        <w:rPr>
          <w:rFonts w:cs="Arial"/>
        </w:rPr>
      </w:pPr>
      <w:r w:rsidRPr="001D012C">
        <w:rPr>
          <w:rFonts w:cs="Arial"/>
        </w:rPr>
        <w:t xml:space="preserve">The </w:t>
      </w:r>
      <w:r w:rsidR="00FB0D2A" w:rsidRPr="001D012C">
        <w:rPr>
          <w:rFonts w:cs="Arial"/>
        </w:rPr>
        <w:t xml:space="preserve">RCC St </w:t>
      </w:r>
      <w:r w:rsidR="00810367" w:rsidRPr="001D012C">
        <w:rPr>
          <w:rFonts w:cs="Arial"/>
        </w:rPr>
        <w:t>George’s</w:t>
      </w:r>
      <w:r w:rsidR="00810367">
        <w:rPr>
          <w:rFonts w:cs="Arial"/>
        </w:rPr>
        <w:t xml:space="preserve"> seeks</w:t>
      </w:r>
      <w:r w:rsidRPr="001D012C">
        <w:rPr>
          <w:rFonts w:cs="Arial"/>
        </w:rPr>
        <w:t xml:space="preserve"> to hire a consultant to carry </w:t>
      </w:r>
      <w:r w:rsidR="002936C5" w:rsidRPr="001D012C">
        <w:rPr>
          <w:rFonts w:cs="Arial"/>
        </w:rPr>
        <w:t xml:space="preserve">out activities </w:t>
      </w:r>
      <w:r w:rsidR="00067104" w:rsidRPr="001D012C">
        <w:rPr>
          <w:rFonts w:cs="Arial"/>
        </w:rPr>
        <w:t xml:space="preserve">related to </w:t>
      </w:r>
      <w:r w:rsidR="006E141E" w:rsidRPr="001D012C">
        <w:rPr>
          <w:rFonts w:cs="Arial"/>
        </w:rPr>
        <w:t>the</w:t>
      </w:r>
      <w:r w:rsidR="002551B9">
        <w:rPr>
          <w:rFonts w:cs="Arial"/>
        </w:rPr>
        <w:t xml:space="preserve"> </w:t>
      </w:r>
      <w:r w:rsidR="00255545">
        <w:rPr>
          <w:rFonts w:cs="Arial"/>
        </w:rPr>
        <w:t xml:space="preserve">UNFCCC </w:t>
      </w:r>
      <w:r w:rsidR="00FB0D2A">
        <w:rPr>
          <w:rFonts w:cs="Arial"/>
        </w:rPr>
        <w:t>Needs</w:t>
      </w:r>
      <w:r w:rsidR="002551B9">
        <w:rPr>
          <w:rFonts w:cs="Arial"/>
        </w:rPr>
        <w:t>-B</w:t>
      </w:r>
      <w:r w:rsidR="00FB0D2A">
        <w:rPr>
          <w:rFonts w:cs="Arial"/>
        </w:rPr>
        <w:t xml:space="preserve">ased </w:t>
      </w:r>
      <w:r w:rsidR="002551B9">
        <w:rPr>
          <w:rFonts w:cs="Arial"/>
        </w:rPr>
        <w:t xml:space="preserve">Climate </w:t>
      </w:r>
      <w:r w:rsidR="00FB0D2A">
        <w:rPr>
          <w:rFonts w:cs="Arial"/>
        </w:rPr>
        <w:t>Finance</w:t>
      </w:r>
      <w:r w:rsidR="00255545">
        <w:rPr>
          <w:rFonts w:cs="Arial"/>
        </w:rPr>
        <w:t xml:space="preserve"> (NBF)</w:t>
      </w:r>
      <w:r w:rsidR="00FB0D2A">
        <w:rPr>
          <w:rFonts w:cs="Arial"/>
        </w:rPr>
        <w:t xml:space="preserve"> Project</w:t>
      </w:r>
      <w:r w:rsidR="00255545">
        <w:rPr>
          <w:rFonts w:cs="Arial"/>
        </w:rPr>
        <w:t xml:space="preserve"> to support the</w:t>
      </w:r>
      <w:r w:rsidR="002551B9">
        <w:rPr>
          <w:rFonts w:cs="Arial"/>
        </w:rPr>
        <w:t xml:space="preserve"> </w:t>
      </w:r>
      <w:r w:rsidR="00255545">
        <w:t xml:space="preserve">Dominican Republic </w:t>
      </w:r>
      <w:r w:rsidR="002149F0">
        <w:t>as represented by</w:t>
      </w:r>
      <w:r w:rsidR="002551B9">
        <w:t xml:space="preserve"> </w:t>
      </w:r>
      <w:proofErr w:type="spellStart"/>
      <w:r w:rsidR="00255545" w:rsidRPr="00FB0D2A">
        <w:rPr>
          <w:rFonts w:cs="Arial"/>
        </w:rPr>
        <w:t>Consejo</w:t>
      </w:r>
      <w:proofErr w:type="spellEnd"/>
      <w:r w:rsidR="00255545" w:rsidRPr="00FB0D2A">
        <w:rPr>
          <w:rFonts w:cs="Arial"/>
        </w:rPr>
        <w:t xml:space="preserve"> Nacional para el Cambio </w:t>
      </w:r>
      <w:proofErr w:type="spellStart"/>
      <w:r w:rsidR="00255545" w:rsidRPr="00FB0D2A">
        <w:rPr>
          <w:rFonts w:cs="Arial"/>
        </w:rPr>
        <w:t>Climático</w:t>
      </w:r>
      <w:proofErr w:type="spellEnd"/>
      <w:r w:rsidR="00255545" w:rsidRPr="00FB0D2A">
        <w:rPr>
          <w:rFonts w:cs="Arial"/>
        </w:rPr>
        <w:t xml:space="preserve"> </w:t>
      </w:r>
      <w:proofErr w:type="gramStart"/>
      <w:r w:rsidR="00255545" w:rsidRPr="00FB0D2A">
        <w:rPr>
          <w:rFonts w:cs="Arial"/>
        </w:rPr>
        <w:t xml:space="preserve">y  </w:t>
      </w:r>
      <w:proofErr w:type="spellStart"/>
      <w:r w:rsidR="00255545" w:rsidRPr="00FB0D2A">
        <w:rPr>
          <w:rFonts w:cs="Arial"/>
        </w:rPr>
        <w:t>Mecanismo</w:t>
      </w:r>
      <w:proofErr w:type="spellEnd"/>
      <w:proofErr w:type="gramEnd"/>
      <w:r w:rsidR="00255545" w:rsidRPr="00FB0D2A">
        <w:rPr>
          <w:rFonts w:cs="Arial"/>
        </w:rPr>
        <w:t xml:space="preserve"> de Desarrollo </w:t>
      </w:r>
      <w:proofErr w:type="spellStart"/>
      <w:r w:rsidR="00255545" w:rsidRPr="00FB0D2A">
        <w:rPr>
          <w:rFonts w:cs="Arial"/>
        </w:rPr>
        <w:t>Limpio</w:t>
      </w:r>
      <w:proofErr w:type="spellEnd"/>
      <w:r w:rsidR="00E85B65">
        <w:rPr>
          <w:rFonts w:cs="Arial"/>
        </w:rPr>
        <w:t>, Dominican Republic</w:t>
      </w:r>
      <w:r w:rsidR="00067104" w:rsidRPr="001D012C">
        <w:rPr>
          <w:rFonts w:cs="Arial"/>
        </w:rPr>
        <w:t>.</w:t>
      </w:r>
    </w:p>
    <w:p w14:paraId="11AC3BD6" w14:textId="77777777" w:rsidR="000D2C9F" w:rsidRPr="00A72495" w:rsidRDefault="000D2C9F" w:rsidP="000D0992">
      <w:pPr>
        <w:jc w:val="both"/>
        <w:rPr>
          <w:b/>
          <w:caps/>
          <w:u w:val="single"/>
        </w:rPr>
      </w:pPr>
      <w:r w:rsidRPr="00A72495">
        <w:rPr>
          <w:b/>
          <w:caps/>
          <w:u w:val="single"/>
        </w:rPr>
        <w:t>Background</w:t>
      </w:r>
    </w:p>
    <w:p w14:paraId="1780490D" w14:textId="77777777" w:rsidR="00F85425" w:rsidRDefault="00C52198" w:rsidP="00F85425">
      <w:pPr>
        <w:jc w:val="both"/>
      </w:pPr>
      <w:r w:rsidRPr="00C52198">
        <w:t xml:space="preserve">The Needs-based Climate Finance Project was established in response to the decision of the Conference of the Parties at its twenty-third session (COP 23) requesting the UNFCCC secretariat to assist developing country Parties in assessing their needs and priorities in a country-driven manner, and in translating the climate finance needs into action (6/CP.23, paragraph 10). In addition, the Conference of Parties meeting as the Parties to the Kyoto Protocol requested the UNFCCC secretariat to support the financing of climate </w:t>
      </w:r>
      <w:r w:rsidR="00FF5242">
        <w:t xml:space="preserve">mitigation </w:t>
      </w:r>
      <w:r w:rsidRPr="00C52198">
        <w:t>projects (3/CMP.1, 6/CMP.11 and 12/CMA.1)</w:t>
      </w:r>
      <w:r w:rsidR="00FF5242">
        <w:t xml:space="preserve"> that </w:t>
      </w:r>
      <w:r w:rsidR="00EC70AE">
        <w:t xml:space="preserve">could be registered under the </w:t>
      </w:r>
      <w:r w:rsidR="00FF5242">
        <w:t>CDM</w:t>
      </w:r>
      <w:r w:rsidRPr="00C52198">
        <w:t>. Collectively, these mandates form the basis for assisting developing countries to determine and assess their needs; formulate regional climate finance strategies; and mobilize support for these strategies to address needs relating to the implementation of the nationally determined contributions, national adaptation plans and national climate strategies and policies</w:t>
      </w:r>
      <w:r w:rsidR="00F85425">
        <w:t>.</w:t>
      </w:r>
    </w:p>
    <w:p w14:paraId="2F7F3610" w14:textId="77777777" w:rsidR="00255545" w:rsidRDefault="00255545" w:rsidP="00255545">
      <w:pPr>
        <w:jc w:val="both"/>
      </w:pPr>
      <w:r>
        <w:t>.</w:t>
      </w:r>
    </w:p>
    <w:p w14:paraId="3E49E273" w14:textId="264C133B" w:rsidR="00255545" w:rsidRDefault="00255545" w:rsidP="00255545">
      <w:pPr>
        <w:jc w:val="both"/>
      </w:pPr>
      <w:r>
        <w:t xml:space="preserve">Dominican Republic through leadership of the </w:t>
      </w:r>
      <w:proofErr w:type="spellStart"/>
      <w:r w:rsidRPr="00FB0D2A">
        <w:rPr>
          <w:rFonts w:cs="Arial"/>
        </w:rPr>
        <w:t>Consejo</w:t>
      </w:r>
      <w:proofErr w:type="spellEnd"/>
      <w:r w:rsidRPr="00FB0D2A">
        <w:rPr>
          <w:rFonts w:cs="Arial"/>
        </w:rPr>
        <w:t xml:space="preserve"> Nacional para el Cambio </w:t>
      </w:r>
      <w:proofErr w:type="spellStart"/>
      <w:r w:rsidRPr="00FB0D2A">
        <w:rPr>
          <w:rFonts w:cs="Arial"/>
        </w:rPr>
        <w:t>Climático</w:t>
      </w:r>
      <w:proofErr w:type="spellEnd"/>
      <w:r w:rsidRPr="00FB0D2A">
        <w:rPr>
          <w:rFonts w:cs="Arial"/>
        </w:rPr>
        <w:t xml:space="preserve"> </w:t>
      </w:r>
      <w:proofErr w:type="gramStart"/>
      <w:r w:rsidRPr="00FB0D2A">
        <w:rPr>
          <w:rFonts w:cs="Arial"/>
        </w:rPr>
        <w:t xml:space="preserve">y  </w:t>
      </w:r>
      <w:proofErr w:type="spellStart"/>
      <w:r w:rsidRPr="00FB0D2A">
        <w:rPr>
          <w:rFonts w:cs="Arial"/>
        </w:rPr>
        <w:t>Mecanismo</w:t>
      </w:r>
      <w:proofErr w:type="spellEnd"/>
      <w:proofErr w:type="gramEnd"/>
      <w:r w:rsidRPr="00FB0D2A">
        <w:rPr>
          <w:rFonts w:cs="Arial"/>
        </w:rPr>
        <w:t xml:space="preserve"> de Desarrollo </w:t>
      </w:r>
      <w:proofErr w:type="spellStart"/>
      <w:r w:rsidRPr="00FB0D2A">
        <w:rPr>
          <w:rFonts w:cs="Arial"/>
        </w:rPr>
        <w:t>Limpio</w:t>
      </w:r>
      <w:proofErr w:type="spellEnd"/>
      <w:r w:rsidR="002551B9">
        <w:rPr>
          <w:rFonts w:cs="Arial"/>
        </w:rPr>
        <w:t xml:space="preserve"> </w:t>
      </w:r>
      <w:r w:rsidR="001A19AF" w:rsidRPr="001A19AF">
        <w:rPr>
          <w:rFonts w:cs="Arial"/>
        </w:rPr>
        <w:t>(CNCCMDL</w:t>
      </w:r>
      <w:r w:rsidR="002551B9">
        <w:rPr>
          <w:rFonts w:cs="Arial"/>
        </w:rPr>
        <w:t xml:space="preserve"> by its acronyms in Spanish</w:t>
      </w:r>
      <w:r w:rsidR="001A19AF" w:rsidRPr="001A19AF">
        <w:rPr>
          <w:rFonts w:cs="Arial"/>
        </w:rPr>
        <w:t xml:space="preserve">) </w:t>
      </w:r>
      <w:r w:rsidR="0057716E">
        <w:rPr>
          <w:rFonts w:cs="Arial"/>
        </w:rPr>
        <w:t xml:space="preserve">and other partner agencies </w:t>
      </w:r>
      <w:r>
        <w:rPr>
          <w:rFonts w:cs="Arial"/>
        </w:rPr>
        <w:t xml:space="preserve">has </w:t>
      </w:r>
      <w:r w:rsidR="00700986">
        <w:rPr>
          <w:rFonts w:cs="Arial"/>
        </w:rPr>
        <w:t xml:space="preserve">developed </w:t>
      </w:r>
      <w:r w:rsidR="00250977">
        <w:rPr>
          <w:rFonts w:cs="Arial"/>
        </w:rPr>
        <w:t>an action plan for</w:t>
      </w:r>
      <w:r>
        <w:rPr>
          <w:rFonts w:cs="Arial"/>
        </w:rPr>
        <w:t xml:space="preserve"> implementation of </w:t>
      </w:r>
      <w:r w:rsidR="00250977">
        <w:rPr>
          <w:rFonts w:cs="Arial"/>
        </w:rPr>
        <w:t>the Nationally</w:t>
      </w:r>
      <w:r>
        <w:rPr>
          <w:rFonts w:cs="Arial"/>
        </w:rPr>
        <w:t xml:space="preserve"> Determined Contribution of Dominican Republic.</w:t>
      </w:r>
      <w:r w:rsidR="002551B9">
        <w:rPr>
          <w:rFonts w:cs="Arial"/>
        </w:rPr>
        <w:t xml:space="preserve"> </w:t>
      </w:r>
      <w:r w:rsidR="00250977">
        <w:t xml:space="preserve">In Collaboration with the members of the NDC Partnership, </w:t>
      </w:r>
      <w:proofErr w:type="spellStart"/>
      <w:r w:rsidR="00250977" w:rsidRPr="00FB0D2A">
        <w:rPr>
          <w:rFonts w:cs="Arial"/>
        </w:rPr>
        <w:t>Consejo</w:t>
      </w:r>
      <w:proofErr w:type="spellEnd"/>
      <w:r w:rsidR="00250977" w:rsidRPr="00FB0D2A">
        <w:rPr>
          <w:rFonts w:cs="Arial"/>
        </w:rPr>
        <w:t xml:space="preserve"> Nacional para el Cambio </w:t>
      </w:r>
      <w:proofErr w:type="spellStart"/>
      <w:r w:rsidR="00250977" w:rsidRPr="00FB0D2A">
        <w:rPr>
          <w:rFonts w:cs="Arial"/>
        </w:rPr>
        <w:t>Climático</w:t>
      </w:r>
      <w:proofErr w:type="spellEnd"/>
      <w:r w:rsidR="00250977" w:rsidRPr="00FB0D2A">
        <w:rPr>
          <w:rFonts w:cs="Arial"/>
        </w:rPr>
        <w:t xml:space="preserve"> </w:t>
      </w:r>
      <w:proofErr w:type="gramStart"/>
      <w:r w:rsidR="00250977" w:rsidRPr="00FB0D2A">
        <w:rPr>
          <w:rFonts w:cs="Arial"/>
        </w:rPr>
        <w:t xml:space="preserve">y  </w:t>
      </w:r>
      <w:proofErr w:type="spellStart"/>
      <w:r w:rsidR="00250977" w:rsidRPr="00FB0D2A">
        <w:rPr>
          <w:rFonts w:cs="Arial"/>
        </w:rPr>
        <w:t>Mecanismo</w:t>
      </w:r>
      <w:proofErr w:type="spellEnd"/>
      <w:proofErr w:type="gramEnd"/>
      <w:r w:rsidR="00250977" w:rsidRPr="00FB0D2A">
        <w:rPr>
          <w:rFonts w:cs="Arial"/>
        </w:rPr>
        <w:t xml:space="preserve"> de Desarrollo </w:t>
      </w:r>
      <w:proofErr w:type="spellStart"/>
      <w:r w:rsidR="00250977" w:rsidRPr="00FB0D2A">
        <w:rPr>
          <w:rFonts w:cs="Arial"/>
        </w:rPr>
        <w:t>Limpio</w:t>
      </w:r>
      <w:proofErr w:type="spellEnd"/>
      <w:r w:rsidR="001E22C2">
        <w:rPr>
          <w:rFonts w:cs="Arial"/>
        </w:rPr>
        <w:t xml:space="preserve"> is in the process of developing a</w:t>
      </w:r>
      <w:r w:rsidR="002551B9">
        <w:rPr>
          <w:rFonts w:cs="Arial"/>
        </w:rPr>
        <w:t xml:space="preserve"> </w:t>
      </w:r>
      <w:r w:rsidR="000E4C47" w:rsidRPr="000E4C47">
        <w:rPr>
          <w:rFonts w:cs="Arial"/>
        </w:rPr>
        <w:t xml:space="preserve">national finance NDC implementation </w:t>
      </w:r>
      <w:r w:rsidR="000E4C47" w:rsidRPr="000E4C47">
        <w:rPr>
          <w:rFonts w:cs="Arial"/>
        </w:rPr>
        <w:lastRenderedPageBreak/>
        <w:t xml:space="preserve">strategy. </w:t>
      </w:r>
      <w:r w:rsidR="001E22C2">
        <w:rPr>
          <w:rFonts w:cs="Arial"/>
        </w:rPr>
        <w:t>This will cover i</w:t>
      </w:r>
      <w:r w:rsidR="000E4C47" w:rsidRPr="000E4C47">
        <w:rPr>
          <w:rFonts w:cs="Arial"/>
        </w:rPr>
        <w:t xml:space="preserve">nstitutional </w:t>
      </w:r>
      <w:r w:rsidR="00250977" w:rsidRPr="000E4C47">
        <w:rPr>
          <w:rFonts w:cs="Arial"/>
        </w:rPr>
        <w:t>arrangements</w:t>
      </w:r>
      <w:r w:rsidR="000E4C47" w:rsidRPr="000E4C47">
        <w:rPr>
          <w:rFonts w:cs="Arial"/>
        </w:rPr>
        <w:t xml:space="preserve"> to prioritize the NDC implementation activities for 2020-2025, to develop and operationalize specific (and/or new) funding instruments, the private sector perspective, and a robust key performance indicators, targets and milestones.</w:t>
      </w:r>
    </w:p>
    <w:p w14:paraId="33811910" w14:textId="77777777" w:rsidR="00255545" w:rsidRDefault="00250977" w:rsidP="00255545">
      <w:pPr>
        <w:jc w:val="both"/>
      </w:pPr>
      <w:r>
        <w:t>In Dominican Republic</w:t>
      </w:r>
      <w:r w:rsidR="00255545">
        <w:t xml:space="preserve">, the Needs-based Finance (NBF) Project </w:t>
      </w:r>
      <w:r w:rsidR="00EE009E">
        <w:t xml:space="preserve">shall </w:t>
      </w:r>
      <w:r w:rsidR="00255545">
        <w:t xml:space="preserve">be implemented in collaboration with </w:t>
      </w:r>
      <w:r w:rsidR="002551B9">
        <w:t xml:space="preserve">the </w:t>
      </w:r>
      <w:r w:rsidR="001A63D4">
        <w:t>CNCCMDL</w:t>
      </w:r>
      <w:r w:rsidR="00255545">
        <w:t xml:space="preserve"> as the national focal point for climate change</w:t>
      </w:r>
      <w:r w:rsidR="007542D2">
        <w:t xml:space="preserve">. </w:t>
      </w:r>
      <w:r w:rsidR="00255545">
        <w:t xml:space="preserve">The main objective of the NBF Project in </w:t>
      </w:r>
      <w:r w:rsidR="00BD5653">
        <w:t>Dominican Republic</w:t>
      </w:r>
      <w:r w:rsidR="002551B9">
        <w:t xml:space="preserve"> </w:t>
      </w:r>
      <w:r w:rsidR="00255545">
        <w:t xml:space="preserve">is to facilitate the mobilization of climate finance to support the needs identified </w:t>
      </w:r>
      <w:r w:rsidR="001E22C2">
        <w:t>by the national NDC implementation plan, regarding</w:t>
      </w:r>
      <w:r w:rsidR="00255545">
        <w:t xml:space="preserve"> the implementation of priority mitigation actions in accordance with the Paris Agreement and the country’s goals set out in the Nationally Determined Contribution, as well as other national development strategies and instruments.</w:t>
      </w:r>
    </w:p>
    <w:p w14:paraId="7AAB58FE" w14:textId="77777777" w:rsidR="00710BF4" w:rsidRDefault="00710BF4" w:rsidP="00710BF4">
      <w:pPr>
        <w:jc w:val="both"/>
        <w:rPr>
          <w:b/>
        </w:rPr>
      </w:pPr>
      <w:r w:rsidRPr="00A72495">
        <w:rPr>
          <w:b/>
          <w:caps/>
          <w:u w:val="single"/>
        </w:rPr>
        <w:t>Purpose of the assignment</w:t>
      </w:r>
    </w:p>
    <w:p w14:paraId="1A8214D7" w14:textId="77777777" w:rsidR="00710BF4" w:rsidRDefault="00710BF4" w:rsidP="00710BF4">
      <w:pPr>
        <w:jc w:val="both"/>
      </w:pPr>
      <w:r w:rsidRPr="00437EF0">
        <w:t xml:space="preserve">The </w:t>
      </w:r>
      <w:r>
        <w:t xml:space="preserve">St George’s Regional Collaboration Center represented by its host partner WINDREF seeks to hire a consultant to deliver the above 5 outputs in close coordination with UNFCCC and </w:t>
      </w:r>
      <w:r w:rsidR="001A63D4">
        <w:rPr>
          <w:rFonts w:cs="Arial"/>
        </w:rPr>
        <w:t>CNCCMDL</w:t>
      </w:r>
      <w:r>
        <w:t>.</w:t>
      </w:r>
    </w:p>
    <w:p w14:paraId="0B664CA8" w14:textId="4F8A87B6" w:rsidR="00255545" w:rsidRDefault="005D1F28" w:rsidP="00255545">
      <w:pPr>
        <w:jc w:val="both"/>
      </w:pPr>
      <w:r>
        <w:t xml:space="preserve">The consultant shall </w:t>
      </w:r>
      <w:r w:rsidR="00255545">
        <w:t xml:space="preserve">provide the following </w:t>
      </w:r>
      <w:r w:rsidR="008A7C95">
        <w:t>outputs</w:t>
      </w:r>
      <w:r w:rsidR="00BF4A34">
        <w:t xml:space="preserve"> including </w:t>
      </w:r>
      <w:r w:rsidR="009915C6">
        <w:t xml:space="preserve">all reports in </w:t>
      </w:r>
      <w:r w:rsidR="00B25B65">
        <w:t xml:space="preserve">English </w:t>
      </w:r>
      <w:r w:rsidR="009915C6">
        <w:t>and Spanish (as needed)</w:t>
      </w:r>
      <w:r w:rsidR="008A7C95">
        <w:t>:</w:t>
      </w:r>
    </w:p>
    <w:p w14:paraId="6E97869F" w14:textId="77777777" w:rsidR="006E090D" w:rsidRDefault="006E090D" w:rsidP="006D0A80">
      <w:pPr>
        <w:pStyle w:val="ListParagraph"/>
        <w:numPr>
          <w:ilvl w:val="0"/>
          <w:numId w:val="11"/>
        </w:numPr>
        <w:jc w:val="both"/>
      </w:pPr>
      <w:r>
        <w:t>A</w:t>
      </w:r>
      <w:r w:rsidR="00027B86">
        <w:t xml:space="preserve"> diagnostic a</w:t>
      </w:r>
      <w:r>
        <w:t xml:space="preserve">ssessment </w:t>
      </w:r>
      <w:r w:rsidR="008A7C95">
        <w:t>of climate</w:t>
      </w:r>
      <w:r>
        <w:t xml:space="preserve"> finance flow</w:t>
      </w:r>
      <w:r w:rsidR="00BF131E">
        <w:t>s</w:t>
      </w:r>
      <w:r w:rsidR="00301F13">
        <w:t xml:space="preserve"> (domestic, </w:t>
      </w:r>
      <w:r w:rsidR="00E83257">
        <w:t>international)</w:t>
      </w:r>
      <w:r w:rsidR="00BF131E">
        <w:t>, stocks and</w:t>
      </w:r>
      <w:r w:rsidR="002551B9">
        <w:t xml:space="preserve"> </w:t>
      </w:r>
      <w:r w:rsidR="00BF131E">
        <w:t xml:space="preserve">needs </w:t>
      </w:r>
      <w:r w:rsidR="00301F13">
        <w:t xml:space="preserve">for </w:t>
      </w:r>
      <w:r>
        <w:t>Dominican Republic</w:t>
      </w:r>
      <w:r w:rsidR="00A92CAB">
        <w:t>;</w:t>
      </w:r>
    </w:p>
    <w:p w14:paraId="46146770" w14:textId="77777777" w:rsidR="00811E7E" w:rsidRDefault="0073525C" w:rsidP="006D0A80">
      <w:pPr>
        <w:pStyle w:val="ListParagraph"/>
        <w:numPr>
          <w:ilvl w:val="0"/>
          <w:numId w:val="11"/>
        </w:numPr>
        <w:jc w:val="both"/>
      </w:pPr>
      <w:r>
        <w:t xml:space="preserve">An </w:t>
      </w:r>
      <w:r w:rsidR="00811E7E">
        <w:t>analysis of national investment</w:t>
      </w:r>
      <w:r w:rsidR="002551B9">
        <w:t xml:space="preserve"> </w:t>
      </w:r>
      <w:r w:rsidR="00D67501">
        <w:t xml:space="preserve">enabling </w:t>
      </w:r>
      <w:r w:rsidR="00811E7E">
        <w:t xml:space="preserve">environment </w:t>
      </w:r>
      <w:r w:rsidR="00BA7A2A">
        <w:t xml:space="preserve">and financial market </w:t>
      </w:r>
      <w:r w:rsidR="003E2252">
        <w:t xml:space="preserve">capacity for </w:t>
      </w:r>
      <w:r w:rsidR="00D67501">
        <w:t xml:space="preserve">financing </w:t>
      </w:r>
      <w:r w:rsidR="003E2252">
        <w:t xml:space="preserve">the </w:t>
      </w:r>
      <w:r w:rsidR="00811E7E">
        <w:t xml:space="preserve">implementation </w:t>
      </w:r>
      <w:r w:rsidR="00D67501">
        <w:t>of NDCs and or national climate change priorities</w:t>
      </w:r>
      <w:r w:rsidR="00811E7E">
        <w:t>;</w:t>
      </w:r>
    </w:p>
    <w:p w14:paraId="17D12043" w14:textId="77777777" w:rsidR="00811E7E" w:rsidRDefault="004D673D" w:rsidP="006D0A80">
      <w:pPr>
        <w:pStyle w:val="ListParagraph"/>
        <w:numPr>
          <w:ilvl w:val="0"/>
          <w:numId w:val="11"/>
        </w:numPr>
        <w:jc w:val="both"/>
      </w:pPr>
      <w:r>
        <w:t>An</w:t>
      </w:r>
      <w:r w:rsidR="0073525C">
        <w:t xml:space="preserve"> i</w:t>
      </w:r>
      <w:r w:rsidR="00811E7E">
        <w:t xml:space="preserve">dentification of a pipeline of </w:t>
      </w:r>
      <w:r w:rsidR="00495964">
        <w:t xml:space="preserve">priority </w:t>
      </w:r>
      <w:r w:rsidR="00206074">
        <w:t xml:space="preserve">investments and </w:t>
      </w:r>
      <w:r w:rsidR="00811E7E">
        <w:t xml:space="preserve">projects </w:t>
      </w:r>
      <w:r w:rsidR="00495964">
        <w:t xml:space="preserve">(including new and existing CDM projects) </w:t>
      </w:r>
      <w:r w:rsidR="00206074">
        <w:t xml:space="preserve">and elaboration of needs </w:t>
      </w:r>
      <w:r w:rsidR="00245F85">
        <w:t xml:space="preserve">and funding required to deploy </w:t>
      </w:r>
      <w:r w:rsidR="009A18D0">
        <w:t xml:space="preserve">these </w:t>
      </w:r>
      <w:r w:rsidR="00245F85">
        <w:t xml:space="preserve">priority investments and projects; </w:t>
      </w:r>
    </w:p>
    <w:p w14:paraId="4CCF6562" w14:textId="77777777" w:rsidR="00811E7E" w:rsidRDefault="0073525C" w:rsidP="006D0A80">
      <w:pPr>
        <w:pStyle w:val="ListParagraph"/>
        <w:numPr>
          <w:ilvl w:val="0"/>
          <w:numId w:val="11"/>
        </w:numPr>
        <w:jc w:val="both"/>
      </w:pPr>
      <w:r>
        <w:t xml:space="preserve">An outline </w:t>
      </w:r>
      <w:r w:rsidR="006E090D">
        <w:t xml:space="preserve">Climate Finance </w:t>
      </w:r>
      <w:r w:rsidR="00B620A2">
        <w:t>Access and Mobilization S</w:t>
      </w:r>
      <w:r w:rsidR="006E090D">
        <w:t xml:space="preserve">trategy for </w:t>
      </w:r>
      <w:r w:rsidR="00B620A2">
        <w:t xml:space="preserve">country </w:t>
      </w:r>
      <w:r w:rsidR="006E090D">
        <w:t>implementation of NDC based on the analysis</w:t>
      </w:r>
      <w:r w:rsidR="006A62CA">
        <w:t>, as validated by national experts and key stakeholders</w:t>
      </w:r>
      <w:r w:rsidR="00A92CAB">
        <w:t>;</w:t>
      </w:r>
    </w:p>
    <w:p w14:paraId="4B713F89" w14:textId="026F23D6" w:rsidR="00A92CAB" w:rsidRDefault="0073525C" w:rsidP="006D0A80">
      <w:pPr>
        <w:pStyle w:val="ListParagraph"/>
        <w:numPr>
          <w:ilvl w:val="0"/>
          <w:numId w:val="11"/>
        </w:numPr>
        <w:jc w:val="both"/>
      </w:pPr>
      <w:r>
        <w:t>An assessment of the l</w:t>
      </w:r>
      <w:r w:rsidR="00A92CAB">
        <w:t xml:space="preserve">inkages </w:t>
      </w:r>
      <w:r>
        <w:t xml:space="preserve">and synergies </w:t>
      </w:r>
      <w:r w:rsidR="00A92CAB">
        <w:t xml:space="preserve">with other </w:t>
      </w:r>
      <w:r>
        <w:t xml:space="preserve">policies, </w:t>
      </w:r>
      <w:proofErr w:type="spellStart"/>
      <w:r>
        <w:t>programmes</w:t>
      </w:r>
      <w:proofErr w:type="spellEnd"/>
      <w:r>
        <w:t xml:space="preserve"> and </w:t>
      </w:r>
      <w:r w:rsidR="006A62CA">
        <w:t>initiatives (e.g. GCCA+</w:t>
      </w:r>
      <w:r w:rsidR="002551B9">
        <w:rPr>
          <w:rStyle w:val="FootnoteReference"/>
        </w:rPr>
        <w:footnoteReference w:id="1"/>
      </w:r>
      <w:r w:rsidR="006A62CA">
        <w:t xml:space="preserve">, </w:t>
      </w:r>
      <w:r w:rsidR="00A92CAB">
        <w:t xml:space="preserve">World </w:t>
      </w:r>
      <w:r w:rsidR="00781E5E">
        <w:t>B</w:t>
      </w:r>
      <w:r w:rsidR="00A92CAB">
        <w:t>ank</w:t>
      </w:r>
      <w:r w:rsidR="00604688">
        <w:t xml:space="preserve">, </w:t>
      </w:r>
      <w:r w:rsidR="00A92CAB">
        <w:t>C</w:t>
      </w:r>
      <w:r w:rsidR="002551B9">
        <w:t>i-</w:t>
      </w:r>
      <w:r w:rsidR="00A92CAB">
        <w:t>ACA</w:t>
      </w:r>
      <w:r w:rsidR="002551B9">
        <w:rPr>
          <w:rStyle w:val="FootnoteReference"/>
        </w:rPr>
        <w:footnoteReference w:id="2"/>
      </w:r>
      <w:r w:rsidR="00EE009E">
        <w:t>, etc.</w:t>
      </w:r>
      <w:r w:rsidR="00781E5E">
        <w:t>).</w:t>
      </w:r>
    </w:p>
    <w:p w14:paraId="529F49ED" w14:textId="77777777" w:rsidR="0057294E" w:rsidRDefault="00056C88" w:rsidP="0057294E">
      <w:pPr>
        <w:jc w:val="both"/>
      </w:pPr>
      <w:r>
        <w:rPr>
          <w:b/>
          <w:caps/>
          <w:u w:val="single"/>
        </w:rPr>
        <w:t>Approach to t</w:t>
      </w:r>
      <w:r w:rsidR="0057294E">
        <w:rPr>
          <w:b/>
          <w:caps/>
          <w:u w:val="single"/>
        </w:rPr>
        <w:t xml:space="preserve">ASKS </w:t>
      </w:r>
    </w:p>
    <w:p w14:paraId="43E3FD29" w14:textId="77777777" w:rsidR="0057294E" w:rsidRDefault="0057294E" w:rsidP="0057294E">
      <w:pPr>
        <w:jc w:val="both"/>
      </w:pPr>
      <w:r>
        <w:t>Conduct analysis of available data on public and private (climate) finance flows, nationally, regionally, and internationally.</w:t>
      </w:r>
    </w:p>
    <w:p w14:paraId="1C73F599" w14:textId="33FDB304" w:rsidR="0057294E" w:rsidRDefault="0057294E" w:rsidP="0057294E">
      <w:pPr>
        <w:jc w:val="both"/>
      </w:pPr>
      <w:r>
        <w:t xml:space="preserve">Review official reports and documents, as appropriate, such as national and regional climate change plans, national and regional development plans, NDCs, National Adaptation Plans, Technical Needs Assessments, </w:t>
      </w:r>
      <w:r w:rsidR="00565013">
        <w:t>N</w:t>
      </w:r>
      <w:r>
        <w:t xml:space="preserve">ational </w:t>
      </w:r>
      <w:r w:rsidR="00565013">
        <w:t>C</w:t>
      </w:r>
      <w:r>
        <w:t>ommunications, Biennial Update Reports, etc., for an assessment of needs and priorities.</w:t>
      </w:r>
    </w:p>
    <w:p w14:paraId="27A1B10C" w14:textId="77777777" w:rsidR="0057294E" w:rsidRDefault="0057294E" w:rsidP="0057294E">
      <w:pPr>
        <w:jc w:val="both"/>
      </w:pPr>
      <w:r>
        <w:t xml:space="preserve">Conduct research and desk review of relevant reports and papers assessing the </w:t>
      </w:r>
      <w:r w:rsidR="00494277">
        <w:t xml:space="preserve">national, </w:t>
      </w:r>
      <w:r>
        <w:t>regional and global finance landscape.</w:t>
      </w:r>
    </w:p>
    <w:p w14:paraId="0111D143" w14:textId="77777777" w:rsidR="0057294E" w:rsidRDefault="0057294E" w:rsidP="0057294E">
      <w:pPr>
        <w:jc w:val="both"/>
      </w:pPr>
      <w:r>
        <w:lastRenderedPageBreak/>
        <w:t xml:space="preserve">Incorporate, as appropriate, updated and relevant information from different sources, including recent publications of data or relevant reports, as well as outcomes of relevant </w:t>
      </w:r>
      <w:r w:rsidR="00BD064C">
        <w:t xml:space="preserve">policies, </w:t>
      </w:r>
      <w:proofErr w:type="spellStart"/>
      <w:r w:rsidR="00BD064C">
        <w:t>programmes</w:t>
      </w:r>
      <w:proofErr w:type="spellEnd"/>
      <w:r w:rsidR="00BD064C">
        <w:t xml:space="preserve"> and </w:t>
      </w:r>
      <w:r w:rsidR="0085219F">
        <w:t>initiatives</w:t>
      </w:r>
      <w:r w:rsidR="00BD064C">
        <w:t>.</w:t>
      </w:r>
    </w:p>
    <w:p w14:paraId="239597C9" w14:textId="77777777" w:rsidR="004F48D7" w:rsidRDefault="006C01F4" w:rsidP="00755E30">
      <w:pPr>
        <w:jc w:val="both"/>
        <w:rPr>
          <w:b/>
          <w:caps/>
          <w:u w:val="single"/>
        </w:rPr>
      </w:pPr>
      <w:r>
        <w:rPr>
          <w:b/>
          <w:caps/>
          <w:u w:val="single"/>
        </w:rPr>
        <w:t>outputs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87"/>
        <w:gridCol w:w="1355"/>
        <w:gridCol w:w="2761"/>
        <w:gridCol w:w="1847"/>
      </w:tblGrid>
      <w:tr w:rsidR="006C01F4" w:rsidRPr="006A456F" w14:paraId="7F597E53" w14:textId="77777777" w:rsidTr="006D0A80">
        <w:trPr>
          <w:jc w:val="center"/>
        </w:trPr>
        <w:tc>
          <w:tcPr>
            <w:tcW w:w="3387" w:type="dxa"/>
            <w:shd w:val="clear" w:color="auto" w:fill="auto"/>
          </w:tcPr>
          <w:p w14:paraId="3CECC673" w14:textId="77777777" w:rsidR="006C01F4" w:rsidRPr="006A456F" w:rsidRDefault="006C01F4" w:rsidP="00CC19F8">
            <w:pPr>
              <w:jc w:val="center"/>
              <w:rPr>
                <w:b/>
                <w:sz w:val="20"/>
                <w:szCs w:val="20"/>
              </w:rPr>
            </w:pPr>
            <w:r w:rsidRPr="006A456F">
              <w:rPr>
                <w:b/>
                <w:sz w:val="20"/>
                <w:szCs w:val="20"/>
              </w:rPr>
              <w:t>Outputs</w:t>
            </w:r>
          </w:p>
        </w:tc>
        <w:tc>
          <w:tcPr>
            <w:tcW w:w="1355" w:type="dxa"/>
            <w:shd w:val="clear" w:color="auto" w:fill="auto"/>
          </w:tcPr>
          <w:p w14:paraId="6285F33E" w14:textId="77777777" w:rsidR="006C01F4" w:rsidRPr="0088300E" w:rsidRDefault="006C01F4" w:rsidP="00CC19F8">
            <w:pPr>
              <w:jc w:val="center"/>
              <w:rPr>
                <w:b/>
                <w:sz w:val="20"/>
                <w:szCs w:val="20"/>
              </w:rPr>
            </w:pPr>
            <w:r w:rsidRPr="0088300E">
              <w:rPr>
                <w:b/>
                <w:sz w:val="20"/>
                <w:szCs w:val="20"/>
              </w:rPr>
              <w:t>Indicative Date</w:t>
            </w:r>
          </w:p>
        </w:tc>
        <w:tc>
          <w:tcPr>
            <w:tcW w:w="2761" w:type="dxa"/>
            <w:shd w:val="clear" w:color="auto" w:fill="auto"/>
          </w:tcPr>
          <w:p w14:paraId="47D1825E" w14:textId="77777777" w:rsidR="006C01F4" w:rsidRPr="006A456F" w:rsidRDefault="006C01F4" w:rsidP="00CC19F8">
            <w:pPr>
              <w:jc w:val="center"/>
              <w:rPr>
                <w:b/>
                <w:sz w:val="20"/>
                <w:szCs w:val="20"/>
              </w:rPr>
            </w:pPr>
            <w:r w:rsidRPr="006A456F">
              <w:rPr>
                <w:b/>
                <w:sz w:val="20"/>
                <w:szCs w:val="20"/>
              </w:rPr>
              <w:t>Performance indicators</w:t>
            </w:r>
          </w:p>
        </w:tc>
        <w:tc>
          <w:tcPr>
            <w:tcW w:w="1847" w:type="dxa"/>
          </w:tcPr>
          <w:p w14:paraId="4B8318C1" w14:textId="77777777" w:rsidR="006C01F4" w:rsidRPr="006A456F" w:rsidRDefault="006C01F4" w:rsidP="00CC19F8">
            <w:pPr>
              <w:jc w:val="center"/>
              <w:rPr>
                <w:b/>
                <w:sz w:val="20"/>
                <w:szCs w:val="20"/>
              </w:rPr>
            </w:pPr>
            <w:r>
              <w:rPr>
                <w:b/>
                <w:sz w:val="20"/>
                <w:szCs w:val="20"/>
              </w:rPr>
              <w:t>Payment schedule</w:t>
            </w:r>
          </w:p>
        </w:tc>
      </w:tr>
      <w:tr w:rsidR="006C01F4" w14:paraId="20B6CA02" w14:textId="77777777" w:rsidTr="00976F44">
        <w:trPr>
          <w:jc w:val="center"/>
        </w:trPr>
        <w:tc>
          <w:tcPr>
            <w:tcW w:w="3387" w:type="dxa"/>
            <w:shd w:val="clear" w:color="auto" w:fill="auto"/>
          </w:tcPr>
          <w:p w14:paraId="27502AAB" w14:textId="77777777" w:rsidR="006C01F4" w:rsidRPr="00F771E2" w:rsidRDefault="00C77BB3" w:rsidP="00CC19F8">
            <w:pPr>
              <w:rPr>
                <w:sz w:val="20"/>
                <w:szCs w:val="20"/>
              </w:rPr>
            </w:pPr>
            <w:r w:rsidRPr="00C77BB3">
              <w:rPr>
                <w:sz w:val="20"/>
                <w:szCs w:val="20"/>
              </w:rPr>
              <w:t>A diagnostic assessment of climate finance flows (domestic, international), stocks and needs for Dominican Republic;</w:t>
            </w:r>
          </w:p>
        </w:tc>
        <w:tc>
          <w:tcPr>
            <w:tcW w:w="1355" w:type="dxa"/>
            <w:shd w:val="clear" w:color="auto" w:fill="auto"/>
          </w:tcPr>
          <w:p w14:paraId="4981A6FB" w14:textId="77777777" w:rsidR="006C01F4" w:rsidRPr="006D0A80" w:rsidRDefault="001A63D4">
            <w:pPr>
              <w:jc w:val="center"/>
              <w:rPr>
                <w:i/>
                <w:sz w:val="20"/>
                <w:szCs w:val="20"/>
              </w:rPr>
            </w:pPr>
            <w:r>
              <w:rPr>
                <w:sz w:val="20"/>
                <w:szCs w:val="20"/>
              </w:rPr>
              <w:t>1 Jan</w:t>
            </w:r>
            <w:r w:rsidR="00565013">
              <w:rPr>
                <w:sz w:val="20"/>
                <w:szCs w:val="20"/>
              </w:rPr>
              <w:t>.</w:t>
            </w:r>
            <w:r w:rsidR="006C01F4" w:rsidRPr="006D0A80">
              <w:rPr>
                <w:sz w:val="20"/>
                <w:szCs w:val="20"/>
              </w:rPr>
              <w:t xml:space="preserve"> 20</w:t>
            </w:r>
            <w:r w:rsidR="00861B5C">
              <w:rPr>
                <w:sz w:val="20"/>
                <w:szCs w:val="20"/>
              </w:rPr>
              <w:t>19</w:t>
            </w:r>
          </w:p>
        </w:tc>
        <w:tc>
          <w:tcPr>
            <w:tcW w:w="2761" w:type="dxa"/>
            <w:shd w:val="clear" w:color="auto" w:fill="auto"/>
          </w:tcPr>
          <w:p w14:paraId="0DEFC241" w14:textId="77777777" w:rsidR="0051514F" w:rsidRDefault="0051514F" w:rsidP="00CC19F8">
            <w:pPr>
              <w:rPr>
                <w:sz w:val="20"/>
                <w:szCs w:val="20"/>
              </w:rPr>
            </w:pPr>
            <w:r w:rsidRPr="007B2099">
              <w:rPr>
                <w:sz w:val="20"/>
                <w:szCs w:val="20"/>
              </w:rPr>
              <w:t>Approval by UNFCCC</w:t>
            </w:r>
          </w:p>
          <w:p w14:paraId="41FBEDA3" w14:textId="77777777" w:rsidR="006C01F4" w:rsidRDefault="006C01F4" w:rsidP="00CC19F8">
            <w:pPr>
              <w:rPr>
                <w:sz w:val="20"/>
                <w:szCs w:val="20"/>
              </w:rPr>
            </w:pPr>
            <w:r>
              <w:rPr>
                <w:sz w:val="20"/>
                <w:szCs w:val="20"/>
              </w:rPr>
              <w:t>Timeliness</w:t>
            </w:r>
          </w:p>
          <w:p w14:paraId="78D85EA1" w14:textId="77777777" w:rsidR="006C01F4" w:rsidRDefault="006C01F4" w:rsidP="00CC19F8">
            <w:pPr>
              <w:rPr>
                <w:sz w:val="20"/>
                <w:szCs w:val="20"/>
              </w:rPr>
            </w:pPr>
            <w:r>
              <w:rPr>
                <w:sz w:val="20"/>
                <w:szCs w:val="20"/>
              </w:rPr>
              <w:t>Quality and relevance of inputs on structure and content</w:t>
            </w:r>
          </w:p>
          <w:p w14:paraId="1FB32D38" w14:textId="77777777" w:rsidR="006A4FF9" w:rsidRPr="00F771E2" w:rsidRDefault="006A4FF9" w:rsidP="00CC19F8">
            <w:pPr>
              <w:rPr>
                <w:sz w:val="20"/>
                <w:szCs w:val="20"/>
              </w:rPr>
            </w:pPr>
            <w:r>
              <w:rPr>
                <w:sz w:val="20"/>
                <w:szCs w:val="20"/>
              </w:rPr>
              <w:t>Technical accuracy of information</w:t>
            </w:r>
          </w:p>
        </w:tc>
        <w:tc>
          <w:tcPr>
            <w:tcW w:w="1847" w:type="dxa"/>
          </w:tcPr>
          <w:p w14:paraId="37DA7205" w14:textId="77777777" w:rsidR="006C01F4" w:rsidRDefault="006C01F4" w:rsidP="00CC19F8">
            <w:pPr>
              <w:rPr>
                <w:sz w:val="20"/>
                <w:szCs w:val="20"/>
              </w:rPr>
            </w:pPr>
            <w:r>
              <w:rPr>
                <w:sz w:val="20"/>
                <w:szCs w:val="20"/>
              </w:rPr>
              <w:t xml:space="preserve">Deliverable </w:t>
            </w:r>
            <w:r w:rsidR="00BA7A2A">
              <w:rPr>
                <w:sz w:val="20"/>
                <w:szCs w:val="20"/>
              </w:rPr>
              <w:t>1</w:t>
            </w:r>
            <w:r>
              <w:rPr>
                <w:sz w:val="20"/>
                <w:szCs w:val="20"/>
              </w:rPr>
              <w:t>:</w:t>
            </w:r>
          </w:p>
          <w:p w14:paraId="5254F7E4" w14:textId="77777777" w:rsidR="006C01F4" w:rsidRDefault="006C01F4" w:rsidP="00CC19F8">
            <w:pPr>
              <w:rPr>
                <w:sz w:val="20"/>
                <w:szCs w:val="20"/>
              </w:rPr>
            </w:pPr>
            <w:r>
              <w:rPr>
                <w:sz w:val="20"/>
                <w:szCs w:val="20"/>
              </w:rPr>
              <w:t xml:space="preserve">Payment: </w:t>
            </w:r>
            <w:r w:rsidR="009A18D0">
              <w:rPr>
                <w:sz w:val="20"/>
                <w:szCs w:val="20"/>
              </w:rPr>
              <w:t>15</w:t>
            </w:r>
            <w:r>
              <w:rPr>
                <w:sz w:val="20"/>
                <w:szCs w:val="20"/>
              </w:rPr>
              <w:t>%</w:t>
            </w:r>
          </w:p>
        </w:tc>
      </w:tr>
      <w:tr w:rsidR="006C01F4" w:rsidRPr="00785B09" w14:paraId="0D3CACC8" w14:textId="77777777" w:rsidTr="00976F44">
        <w:trPr>
          <w:jc w:val="center"/>
        </w:trPr>
        <w:tc>
          <w:tcPr>
            <w:tcW w:w="3387" w:type="dxa"/>
            <w:shd w:val="clear" w:color="auto" w:fill="auto"/>
          </w:tcPr>
          <w:p w14:paraId="1F7082F3" w14:textId="77777777" w:rsidR="006C01F4" w:rsidRPr="00C761B1" w:rsidRDefault="00D67501" w:rsidP="006D0A80">
            <w:pPr>
              <w:jc w:val="both"/>
              <w:rPr>
                <w:sz w:val="20"/>
                <w:szCs w:val="20"/>
                <w:highlight w:val="yellow"/>
              </w:rPr>
            </w:pPr>
            <w:r w:rsidRPr="006D0A80">
              <w:rPr>
                <w:sz w:val="20"/>
                <w:szCs w:val="20"/>
              </w:rPr>
              <w:t>An analysis of national investment enabling environment and financial market capacity for financing the implementation of NDCs and or national climate change priorities;</w:t>
            </w:r>
          </w:p>
        </w:tc>
        <w:tc>
          <w:tcPr>
            <w:tcW w:w="1355" w:type="dxa"/>
            <w:shd w:val="clear" w:color="auto" w:fill="auto"/>
          </w:tcPr>
          <w:p w14:paraId="3A5C5E0C" w14:textId="77777777" w:rsidR="006C01F4" w:rsidRPr="0088300E" w:rsidRDefault="00184785" w:rsidP="00CC19F8">
            <w:pPr>
              <w:jc w:val="center"/>
              <w:rPr>
                <w:sz w:val="20"/>
                <w:szCs w:val="20"/>
              </w:rPr>
            </w:pPr>
            <w:r>
              <w:rPr>
                <w:sz w:val="20"/>
                <w:szCs w:val="20"/>
              </w:rPr>
              <w:t xml:space="preserve">02 </w:t>
            </w:r>
            <w:r w:rsidR="001A63D4">
              <w:rPr>
                <w:sz w:val="20"/>
                <w:szCs w:val="20"/>
              </w:rPr>
              <w:t>Mar</w:t>
            </w:r>
            <w:r>
              <w:rPr>
                <w:sz w:val="20"/>
                <w:szCs w:val="20"/>
              </w:rPr>
              <w:t>. 2020</w:t>
            </w:r>
          </w:p>
        </w:tc>
        <w:tc>
          <w:tcPr>
            <w:tcW w:w="2761" w:type="dxa"/>
            <w:shd w:val="clear" w:color="auto" w:fill="auto"/>
          </w:tcPr>
          <w:p w14:paraId="0490CDED" w14:textId="77777777" w:rsidR="0051514F" w:rsidRDefault="0051514F" w:rsidP="006A4FF9">
            <w:pPr>
              <w:rPr>
                <w:sz w:val="20"/>
                <w:szCs w:val="20"/>
              </w:rPr>
            </w:pPr>
            <w:r w:rsidRPr="007B2099">
              <w:rPr>
                <w:sz w:val="20"/>
                <w:szCs w:val="20"/>
              </w:rPr>
              <w:t>Approval by UNFCCC</w:t>
            </w:r>
          </w:p>
          <w:p w14:paraId="4238AF3A" w14:textId="77777777" w:rsidR="006A4FF9" w:rsidRDefault="006A4FF9" w:rsidP="006A4FF9">
            <w:pPr>
              <w:rPr>
                <w:sz w:val="20"/>
                <w:szCs w:val="20"/>
              </w:rPr>
            </w:pPr>
            <w:r>
              <w:rPr>
                <w:sz w:val="20"/>
                <w:szCs w:val="20"/>
              </w:rPr>
              <w:t xml:space="preserve">Quality of inputs </w:t>
            </w:r>
          </w:p>
          <w:p w14:paraId="13A70B68" w14:textId="77777777" w:rsidR="006C01F4" w:rsidRDefault="006A4FF9" w:rsidP="006A4FF9">
            <w:pPr>
              <w:rPr>
                <w:sz w:val="20"/>
                <w:szCs w:val="20"/>
              </w:rPr>
            </w:pPr>
            <w:r>
              <w:rPr>
                <w:sz w:val="20"/>
                <w:szCs w:val="20"/>
              </w:rPr>
              <w:t xml:space="preserve">Logic and relevance of information </w:t>
            </w:r>
          </w:p>
          <w:p w14:paraId="0A6D4543" w14:textId="77777777" w:rsidR="006A4FF9" w:rsidRDefault="006A4FF9" w:rsidP="006A4FF9">
            <w:pPr>
              <w:rPr>
                <w:sz w:val="20"/>
                <w:szCs w:val="20"/>
              </w:rPr>
            </w:pPr>
            <w:r>
              <w:rPr>
                <w:sz w:val="20"/>
                <w:szCs w:val="20"/>
              </w:rPr>
              <w:t>Technical accuracy of information</w:t>
            </w:r>
          </w:p>
        </w:tc>
        <w:tc>
          <w:tcPr>
            <w:tcW w:w="1847" w:type="dxa"/>
          </w:tcPr>
          <w:p w14:paraId="1D06E2D3" w14:textId="77777777" w:rsidR="006C01F4" w:rsidRDefault="006C01F4" w:rsidP="00CC19F8">
            <w:pPr>
              <w:rPr>
                <w:sz w:val="20"/>
                <w:szCs w:val="20"/>
              </w:rPr>
            </w:pPr>
            <w:r>
              <w:rPr>
                <w:sz w:val="20"/>
                <w:szCs w:val="20"/>
              </w:rPr>
              <w:t xml:space="preserve">Deliverable </w:t>
            </w:r>
            <w:r w:rsidR="00184785">
              <w:rPr>
                <w:sz w:val="20"/>
                <w:szCs w:val="20"/>
              </w:rPr>
              <w:t>2</w:t>
            </w:r>
            <w:r>
              <w:rPr>
                <w:sz w:val="20"/>
                <w:szCs w:val="20"/>
              </w:rPr>
              <w:t>:</w:t>
            </w:r>
          </w:p>
          <w:p w14:paraId="2C387712" w14:textId="77777777" w:rsidR="006C01F4" w:rsidRDefault="006C01F4" w:rsidP="00CC19F8">
            <w:pPr>
              <w:rPr>
                <w:sz w:val="20"/>
                <w:szCs w:val="20"/>
              </w:rPr>
            </w:pPr>
            <w:r>
              <w:rPr>
                <w:sz w:val="20"/>
                <w:szCs w:val="20"/>
              </w:rPr>
              <w:t xml:space="preserve">Payment: </w:t>
            </w:r>
            <w:r w:rsidR="009A18D0">
              <w:rPr>
                <w:sz w:val="20"/>
                <w:szCs w:val="20"/>
              </w:rPr>
              <w:t>15</w:t>
            </w:r>
            <w:r>
              <w:rPr>
                <w:sz w:val="20"/>
                <w:szCs w:val="20"/>
              </w:rPr>
              <w:t>%</w:t>
            </w:r>
          </w:p>
        </w:tc>
      </w:tr>
      <w:tr w:rsidR="006C01F4" w:rsidRPr="00785B09" w14:paraId="2A753A94" w14:textId="77777777" w:rsidTr="00976F44">
        <w:trPr>
          <w:jc w:val="center"/>
        </w:trPr>
        <w:tc>
          <w:tcPr>
            <w:tcW w:w="3387" w:type="dxa"/>
            <w:shd w:val="clear" w:color="auto" w:fill="auto"/>
          </w:tcPr>
          <w:p w14:paraId="6BBD33D2" w14:textId="77777777" w:rsidR="006C01F4" w:rsidRPr="005D68E8" w:rsidRDefault="00184785" w:rsidP="00CC19F8">
            <w:pPr>
              <w:rPr>
                <w:sz w:val="20"/>
                <w:szCs w:val="20"/>
              </w:rPr>
            </w:pPr>
            <w:r w:rsidRPr="00184785">
              <w:rPr>
                <w:sz w:val="20"/>
                <w:szCs w:val="20"/>
              </w:rPr>
              <w:t>The identification of a pipeline of priority investments and projects (including new and existing CDM projects) and elaboration of needs and funding required to deploy priority investments and projects;</w:t>
            </w:r>
          </w:p>
        </w:tc>
        <w:tc>
          <w:tcPr>
            <w:tcW w:w="1355" w:type="dxa"/>
            <w:shd w:val="clear" w:color="auto" w:fill="auto"/>
          </w:tcPr>
          <w:p w14:paraId="5479DDD9" w14:textId="77777777" w:rsidR="006C01F4" w:rsidRPr="006D0A80" w:rsidRDefault="00881DE0" w:rsidP="00CC19F8">
            <w:pPr>
              <w:jc w:val="center"/>
              <w:rPr>
                <w:sz w:val="20"/>
                <w:szCs w:val="20"/>
              </w:rPr>
            </w:pPr>
            <w:r>
              <w:rPr>
                <w:sz w:val="20"/>
                <w:szCs w:val="20"/>
              </w:rPr>
              <w:t>0</w:t>
            </w:r>
            <w:r w:rsidR="001A63D4">
              <w:rPr>
                <w:sz w:val="20"/>
                <w:szCs w:val="20"/>
              </w:rPr>
              <w:t>1</w:t>
            </w:r>
            <w:r w:rsidR="00565013">
              <w:rPr>
                <w:sz w:val="20"/>
                <w:szCs w:val="20"/>
              </w:rPr>
              <w:t xml:space="preserve"> </w:t>
            </w:r>
            <w:r w:rsidR="001A63D4">
              <w:rPr>
                <w:sz w:val="20"/>
                <w:szCs w:val="20"/>
              </w:rPr>
              <w:t>Apr</w:t>
            </w:r>
            <w:r w:rsidR="00565013">
              <w:rPr>
                <w:sz w:val="20"/>
                <w:szCs w:val="20"/>
              </w:rPr>
              <w:t>.</w:t>
            </w:r>
            <w:r w:rsidR="008000EF">
              <w:rPr>
                <w:sz w:val="20"/>
                <w:szCs w:val="20"/>
              </w:rPr>
              <w:t xml:space="preserve"> 2019</w:t>
            </w:r>
          </w:p>
        </w:tc>
        <w:tc>
          <w:tcPr>
            <w:tcW w:w="2761" w:type="dxa"/>
            <w:shd w:val="clear" w:color="auto" w:fill="auto"/>
          </w:tcPr>
          <w:p w14:paraId="6240B0A9" w14:textId="77777777" w:rsidR="0051514F" w:rsidRDefault="0051514F" w:rsidP="00CC19F8">
            <w:pPr>
              <w:rPr>
                <w:sz w:val="20"/>
                <w:szCs w:val="20"/>
              </w:rPr>
            </w:pPr>
            <w:r w:rsidRPr="007B2099">
              <w:rPr>
                <w:sz w:val="20"/>
                <w:szCs w:val="20"/>
              </w:rPr>
              <w:t>Approval by UNFCCC</w:t>
            </w:r>
          </w:p>
          <w:p w14:paraId="66C633A3" w14:textId="77777777" w:rsidR="006C01F4" w:rsidRDefault="006C01F4" w:rsidP="00CC19F8">
            <w:pPr>
              <w:rPr>
                <w:sz w:val="20"/>
                <w:szCs w:val="20"/>
              </w:rPr>
            </w:pPr>
            <w:r>
              <w:rPr>
                <w:sz w:val="20"/>
                <w:szCs w:val="20"/>
              </w:rPr>
              <w:t>Quality of drafting</w:t>
            </w:r>
          </w:p>
          <w:p w14:paraId="5CB7D1CD" w14:textId="77777777" w:rsidR="006C01F4" w:rsidRDefault="006C01F4" w:rsidP="00CC19F8">
            <w:pPr>
              <w:rPr>
                <w:sz w:val="20"/>
                <w:szCs w:val="20"/>
              </w:rPr>
            </w:pPr>
            <w:r>
              <w:rPr>
                <w:sz w:val="20"/>
                <w:szCs w:val="20"/>
              </w:rPr>
              <w:t>Relevance of inputs</w:t>
            </w:r>
          </w:p>
          <w:p w14:paraId="12F87A4B" w14:textId="77777777" w:rsidR="006C01F4" w:rsidRPr="005D68E8" w:rsidRDefault="006C01F4" w:rsidP="00CC19F8">
            <w:pPr>
              <w:rPr>
                <w:b/>
                <w:sz w:val="20"/>
                <w:szCs w:val="20"/>
                <w:highlight w:val="lightGray"/>
              </w:rPr>
            </w:pPr>
            <w:r>
              <w:rPr>
                <w:sz w:val="20"/>
                <w:szCs w:val="20"/>
              </w:rPr>
              <w:t>Technical accuracy of information</w:t>
            </w:r>
          </w:p>
        </w:tc>
        <w:tc>
          <w:tcPr>
            <w:tcW w:w="1847" w:type="dxa"/>
          </w:tcPr>
          <w:p w14:paraId="61785A66" w14:textId="77777777" w:rsidR="006C01F4" w:rsidRDefault="006C01F4" w:rsidP="00CC19F8">
            <w:pPr>
              <w:rPr>
                <w:sz w:val="20"/>
                <w:szCs w:val="20"/>
              </w:rPr>
            </w:pPr>
            <w:r>
              <w:rPr>
                <w:sz w:val="20"/>
                <w:szCs w:val="20"/>
              </w:rPr>
              <w:t xml:space="preserve">Deliverable </w:t>
            </w:r>
            <w:r w:rsidR="00881DE0">
              <w:rPr>
                <w:sz w:val="20"/>
                <w:szCs w:val="20"/>
              </w:rPr>
              <w:t>3</w:t>
            </w:r>
            <w:r>
              <w:rPr>
                <w:sz w:val="20"/>
                <w:szCs w:val="20"/>
              </w:rPr>
              <w:t>:</w:t>
            </w:r>
          </w:p>
          <w:p w14:paraId="6130DC03" w14:textId="77777777" w:rsidR="006C01F4" w:rsidRDefault="006C01F4" w:rsidP="00CC19F8">
            <w:pPr>
              <w:rPr>
                <w:sz w:val="20"/>
                <w:szCs w:val="20"/>
              </w:rPr>
            </w:pPr>
            <w:r>
              <w:rPr>
                <w:sz w:val="20"/>
                <w:szCs w:val="20"/>
              </w:rPr>
              <w:t xml:space="preserve">Payment: </w:t>
            </w:r>
            <w:r w:rsidR="009A18D0">
              <w:rPr>
                <w:sz w:val="20"/>
                <w:szCs w:val="20"/>
              </w:rPr>
              <w:t>15</w:t>
            </w:r>
            <w:r>
              <w:rPr>
                <w:sz w:val="20"/>
                <w:szCs w:val="20"/>
              </w:rPr>
              <w:t>%</w:t>
            </w:r>
          </w:p>
        </w:tc>
      </w:tr>
      <w:tr w:rsidR="006C01F4" w14:paraId="35DAC380" w14:textId="77777777" w:rsidTr="006D0A80">
        <w:trPr>
          <w:jc w:val="center"/>
        </w:trPr>
        <w:tc>
          <w:tcPr>
            <w:tcW w:w="3387" w:type="dxa"/>
            <w:shd w:val="clear" w:color="auto" w:fill="auto"/>
          </w:tcPr>
          <w:p w14:paraId="6E551149" w14:textId="77777777" w:rsidR="006C01F4" w:rsidRPr="007B2099" w:rsidRDefault="009A18D0" w:rsidP="00CC19F8">
            <w:pPr>
              <w:rPr>
                <w:sz w:val="20"/>
                <w:szCs w:val="20"/>
                <w:highlight w:val="yellow"/>
              </w:rPr>
            </w:pPr>
            <w:r w:rsidRPr="006D0A80">
              <w:rPr>
                <w:sz w:val="20"/>
                <w:szCs w:val="20"/>
              </w:rPr>
              <w:t>An identification of a pipeline of priority investments and projects (including new and existing CDM projects) and elaboration of needs and funding required to deploy these priority investments and projects;</w:t>
            </w:r>
          </w:p>
        </w:tc>
        <w:tc>
          <w:tcPr>
            <w:tcW w:w="1355" w:type="dxa"/>
            <w:shd w:val="clear" w:color="auto" w:fill="auto"/>
          </w:tcPr>
          <w:p w14:paraId="50850F56" w14:textId="77777777" w:rsidR="006C01F4" w:rsidRPr="0088300E" w:rsidRDefault="003E49B4" w:rsidP="00CC19F8">
            <w:pPr>
              <w:jc w:val="center"/>
              <w:rPr>
                <w:sz w:val="20"/>
                <w:szCs w:val="20"/>
              </w:rPr>
            </w:pPr>
            <w:r>
              <w:rPr>
                <w:sz w:val="20"/>
                <w:szCs w:val="20"/>
              </w:rPr>
              <w:t>02 Apr</w:t>
            </w:r>
            <w:r w:rsidR="00565013">
              <w:rPr>
                <w:sz w:val="20"/>
                <w:szCs w:val="20"/>
              </w:rPr>
              <w:t>.</w:t>
            </w:r>
            <w:r w:rsidR="006C01F4" w:rsidRPr="0088300E">
              <w:rPr>
                <w:sz w:val="20"/>
                <w:szCs w:val="20"/>
              </w:rPr>
              <w:t xml:space="preserve"> 2020</w:t>
            </w:r>
          </w:p>
        </w:tc>
        <w:tc>
          <w:tcPr>
            <w:tcW w:w="2761" w:type="dxa"/>
            <w:shd w:val="clear" w:color="auto" w:fill="auto"/>
          </w:tcPr>
          <w:p w14:paraId="1BAA2CC9" w14:textId="77777777" w:rsidR="006C01F4" w:rsidRDefault="006C01F4" w:rsidP="00CC19F8">
            <w:pPr>
              <w:rPr>
                <w:sz w:val="20"/>
                <w:szCs w:val="20"/>
              </w:rPr>
            </w:pPr>
            <w:r w:rsidRPr="007B2099">
              <w:rPr>
                <w:sz w:val="20"/>
                <w:szCs w:val="20"/>
              </w:rPr>
              <w:t>Approval by UNFCCC</w:t>
            </w:r>
          </w:p>
          <w:p w14:paraId="6A84ECFD" w14:textId="77777777" w:rsidR="00413557" w:rsidRDefault="00413557" w:rsidP="00413557">
            <w:pPr>
              <w:rPr>
                <w:sz w:val="20"/>
                <w:szCs w:val="20"/>
              </w:rPr>
            </w:pPr>
            <w:r>
              <w:rPr>
                <w:sz w:val="20"/>
                <w:szCs w:val="20"/>
              </w:rPr>
              <w:t>Quality of drafting</w:t>
            </w:r>
          </w:p>
          <w:p w14:paraId="08849B2D" w14:textId="77777777" w:rsidR="00413557" w:rsidRDefault="00413557" w:rsidP="00413557">
            <w:pPr>
              <w:rPr>
                <w:sz w:val="20"/>
                <w:szCs w:val="20"/>
              </w:rPr>
            </w:pPr>
            <w:r>
              <w:rPr>
                <w:sz w:val="20"/>
                <w:szCs w:val="20"/>
              </w:rPr>
              <w:t>Relevance of inputs</w:t>
            </w:r>
          </w:p>
          <w:p w14:paraId="6241CB16" w14:textId="77777777" w:rsidR="00413557" w:rsidRPr="007B2099" w:rsidRDefault="00413557" w:rsidP="00413557">
            <w:pPr>
              <w:rPr>
                <w:sz w:val="20"/>
                <w:szCs w:val="20"/>
              </w:rPr>
            </w:pPr>
            <w:r>
              <w:rPr>
                <w:sz w:val="20"/>
                <w:szCs w:val="20"/>
              </w:rPr>
              <w:t>Technical accuracy of information</w:t>
            </w:r>
          </w:p>
        </w:tc>
        <w:tc>
          <w:tcPr>
            <w:tcW w:w="1847" w:type="dxa"/>
          </w:tcPr>
          <w:p w14:paraId="1118FE9C" w14:textId="77777777" w:rsidR="006C01F4" w:rsidRDefault="006C01F4" w:rsidP="00CC19F8">
            <w:pPr>
              <w:rPr>
                <w:sz w:val="20"/>
                <w:szCs w:val="20"/>
              </w:rPr>
            </w:pPr>
            <w:r>
              <w:rPr>
                <w:sz w:val="20"/>
                <w:szCs w:val="20"/>
              </w:rPr>
              <w:t xml:space="preserve">Deliverable </w:t>
            </w:r>
            <w:r w:rsidR="003E49B4">
              <w:rPr>
                <w:sz w:val="20"/>
                <w:szCs w:val="20"/>
              </w:rPr>
              <w:t>4</w:t>
            </w:r>
            <w:r>
              <w:rPr>
                <w:sz w:val="20"/>
                <w:szCs w:val="20"/>
              </w:rPr>
              <w:t>:</w:t>
            </w:r>
          </w:p>
          <w:p w14:paraId="06EC6491" w14:textId="77777777" w:rsidR="006C01F4" w:rsidRPr="007B2099" w:rsidRDefault="006C01F4" w:rsidP="00CC19F8">
            <w:pPr>
              <w:rPr>
                <w:sz w:val="20"/>
                <w:szCs w:val="20"/>
              </w:rPr>
            </w:pPr>
            <w:r>
              <w:rPr>
                <w:sz w:val="20"/>
                <w:szCs w:val="20"/>
              </w:rPr>
              <w:t>Payment: 1</w:t>
            </w:r>
            <w:r w:rsidR="009A18D0">
              <w:rPr>
                <w:sz w:val="20"/>
                <w:szCs w:val="20"/>
              </w:rPr>
              <w:t>5</w:t>
            </w:r>
            <w:r>
              <w:rPr>
                <w:sz w:val="20"/>
                <w:szCs w:val="20"/>
              </w:rPr>
              <w:t>%</w:t>
            </w:r>
          </w:p>
        </w:tc>
      </w:tr>
      <w:tr w:rsidR="003E49B4" w14:paraId="17643018" w14:textId="77777777" w:rsidTr="00976F44">
        <w:trPr>
          <w:jc w:val="center"/>
        </w:trPr>
        <w:tc>
          <w:tcPr>
            <w:tcW w:w="3387" w:type="dxa"/>
            <w:shd w:val="clear" w:color="auto" w:fill="auto"/>
          </w:tcPr>
          <w:p w14:paraId="248AE184" w14:textId="77777777" w:rsidR="003E49B4" w:rsidRPr="009A18D0" w:rsidRDefault="003C6039" w:rsidP="00CC19F8">
            <w:pPr>
              <w:rPr>
                <w:sz w:val="20"/>
                <w:szCs w:val="20"/>
              </w:rPr>
            </w:pPr>
            <w:r w:rsidRPr="006D0A80">
              <w:rPr>
                <w:sz w:val="20"/>
                <w:szCs w:val="20"/>
              </w:rPr>
              <w:t xml:space="preserve">An assessment of the linkages and synergies with other policies, </w:t>
            </w:r>
            <w:proofErr w:type="spellStart"/>
            <w:r w:rsidRPr="006D0A80">
              <w:rPr>
                <w:sz w:val="20"/>
                <w:szCs w:val="20"/>
              </w:rPr>
              <w:t>programmes</w:t>
            </w:r>
            <w:proofErr w:type="spellEnd"/>
            <w:r w:rsidRPr="006D0A80">
              <w:rPr>
                <w:sz w:val="20"/>
                <w:szCs w:val="20"/>
              </w:rPr>
              <w:t xml:space="preserve"> and initiatives (e.g. GCCA+, World Bank, CIACA, etc.).</w:t>
            </w:r>
          </w:p>
        </w:tc>
        <w:tc>
          <w:tcPr>
            <w:tcW w:w="1355" w:type="dxa"/>
            <w:shd w:val="clear" w:color="auto" w:fill="auto"/>
          </w:tcPr>
          <w:p w14:paraId="7EFA3A86" w14:textId="77777777" w:rsidR="003E49B4" w:rsidRDefault="00413557" w:rsidP="00CC19F8">
            <w:pPr>
              <w:jc w:val="center"/>
              <w:rPr>
                <w:sz w:val="20"/>
                <w:szCs w:val="20"/>
              </w:rPr>
            </w:pPr>
            <w:r>
              <w:rPr>
                <w:sz w:val="20"/>
                <w:szCs w:val="20"/>
              </w:rPr>
              <w:t>0</w:t>
            </w:r>
            <w:r w:rsidR="001A63D4">
              <w:rPr>
                <w:sz w:val="20"/>
                <w:szCs w:val="20"/>
              </w:rPr>
              <w:t>4</w:t>
            </w:r>
            <w:r>
              <w:rPr>
                <w:sz w:val="20"/>
                <w:szCs w:val="20"/>
              </w:rPr>
              <w:t xml:space="preserve"> May</w:t>
            </w:r>
            <w:r w:rsidRPr="00CC19F8">
              <w:rPr>
                <w:sz w:val="20"/>
                <w:szCs w:val="20"/>
              </w:rPr>
              <w:t xml:space="preserve"> 2020</w:t>
            </w:r>
          </w:p>
        </w:tc>
        <w:tc>
          <w:tcPr>
            <w:tcW w:w="2761" w:type="dxa"/>
            <w:shd w:val="clear" w:color="auto" w:fill="auto"/>
          </w:tcPr>
          <w:p w14:paraId="60A42203" w14:textId="77777777" w:rsidR="003E49B4" w:rsidRDefault="0051514F" w:rsidP="00CC19F8">
            <w:pPr>
              <w:rPr>
                <w:sz w:val="20"/>
                <w:szCs w:val="20"/>
              </w:rPr>
            </w:pPr>
            <w:r w:rsidRPr="007B2099">
              <w:rPr>
                <w:sz w:val="20"/>
                <w:szCs w:val="20"/>
              </w:rPr>
              <w:t>Approval by UNFCCC</w:t>
            </w:r>
          </w:p>
          <w:p w14:paraId="13B9A655" w14:textId="77777777" w:rsidR="00413557" w:rsidRDefault="00413557" w:rsidP="00413557">
            <w:pPr>
              <w:rPr>
                <w:sz w:val="20"/>
                <w:szCs w:val="20"/>
              </w:rPr>
            </w:pPr>
            <w:r>
              <w:rPr>
                <w:sz w:val="20"/>
                <w:szCs w:val="20"/>
              </w:rPr>
              <w:t>Quality of drafting</w:t>
            </w:r>
          </w:p>
          <w:p w14:paraId="542ECB2B" w14:textId="77777777" w:rsidR="00413557" w:rsidRDefault="00413557" w:rsidP="00413557">
            <w:pPr>
              <w:rPr>
                <w:sz w:val="20"/>
                <w:szCs w:val="20"/>
              </w:rPr>
            </w:pPr>
            <w:r>
              <w:rPr>
                <w:sz w:val="20"/>
                <w:szCs w:val="20"/>
              </w:rPr>
              <w:t>Relevance of inputs</w:t>
            </w:r>
          </w:p>
          <w:p w14:paraId="2235049E" w14:textId="77777777" w:rsidR="00413557" w:rsidRPr="007B2099" w:rsidRDefault="00413557" w:rsidP="00413557">
            <w:pPr>
              <w:rPr>
                <w:sz w:val="20"/>
                <w:szCs w:val="20"/>
              </w:rPr>
            </w:pPr>
            <w:r>
              <w:rPr>
                <w:sz w:val="20"/>
                <w:szCs w:val="20"/>
              </w:rPr>
              <w:t xml:space="preserve">Technical accuracy of </w:t>
            </w:r>
            <w:r>
              <w:rPr>
                <w:sz w:val="20"/>
                <w:szCs w:val="20"/>
              </w:rPr>
              <w:lastRenderedPageBreak/>
              <w:t>information</w:t>
            </w:r>
          </w:p>
        </w:tc>
        <w:tc>
          <w:tcPr>
            <w:tcW w:w="1847" w:type="dxa"/>
          </w:tcPr>
          <w:p w14:paraId="66FEECA0" w14:textId="77777777" w:rsidR="003E49B4" w:rsidRDefault="003E49B4" w:rsidP="003E49B4">
            <w:pPr>
              <w:rPr>
                <w:sz w:val="20"/>
                <w:szCs w:val="20"/>
              </w:rPr>
            </w:pPr>
            <w:r>
              <w:rPr>
                <w:sz w:val="20"/>
                <w:szCs w:val="20"/>
              </w:rPr>
              <w:lastRenderedPageBreak/>
              <w:t>Deliverable 5:</w:t>
            </w:r>
          </w:p>
          <w:p w14:paraId="5CC89E0D" w14:textId="77777777" w:rsidR="003E49B4" w:rsidRDefault="003E49B4" w:rsidP="003E49B4">
            <w:pPr>
              <w:rPr>
                <w:sz w:val="20"/>
                <w:szCs w:val="20"/>
              </w:rPr>
            </w:pPr>
            <w:r>
              <w:rPr>
                <w:sz w:val="20"/>
                <w:szCs w:val="20"/>
              </w:rPr>
              <w:t>Payment: 15%</w:t>
            </w:r>
          </w:p>
        </w:tc>
      </w:tr>
      <w:tr w:rsidR="009A18D0" w14:paraId="156F4908" w14:textId="77777777" w:rsidTr="00976F44">
        <w:trPr>
          <w:jc w:val="center"/>
        </w:trPr>
        <w:tc>
          <w:tcPr>
            <w:tcW w:w="3387" w:type="dxa"/>
            <w:shd w:val="clear" w:color="auto" w:fill="auto"/>
          </w:tcPr>
          <w:p w14:paraId="7995B440" w14:textId="77777777" w:rsidR="009A18D0" w:rsidRPr="009A18D0" w:rsidRDefault="009A18D0" w:rsidP="00CC19F8">
            <w:pPr>
              <w:rPr>
                <w:sz w:val="20"/>
                <w:szCs w:val="20"/>
              </w:rPr>
            </w:pPr>
            <w:r>
              <w:rPr>
                <w:sz w:val="20"/>
                <w:szCs w:val="20"/>
              </w:rPr>
              <w:t>Consolidation of all 5 outputs into one report</w:t>
            </w:r>
          </w:p>
        </w:tc>
        <w:tc>
          <w:tcPr>
            <w:tcW w:w="1355" w:type="dxa"/>
            <w:shd w:val="clear" w:color="auto" w:fill="auto"/>
          </w:tcPr>
          <w:p w14:paraId="7F30E98A" w14:textId="77777777" w:rsidR="009A18D0" w:rsidRPr="0088300E" w:rsidRDefault="00413557" w:rsidP="00CC19F8">
            <w:pPr>
              <w:jc w:val="center"/>
              <w:rPr>
                <w:sz w:val="20"/>
                <w:szCs w:val="20"/>
              </w:rPr>
            </w:pPr>
            <w:r>
              <w:rPr>
                <w:sz w:val="20"/>
                <w:szCs w:val="20"/>
              </w:rPr>
              <w:t>02 Jun</w:t>
            </w:r>
            <w:r w:rsidR="00565013">
              <w:rPr>
                <w:sz w:val="20"/>
                <w:szCs w:val="20"/>
              </w:rPr>
              <w:t>.</w:t>
            </w:r>
            <w:r w:rsidRPr="00CC19F8">
              <w:rPr>
                <w:sz w:val="20"/>
                <w:szCs w:val="20"/>
              </w:rPr>
              <w:t xml:space="preserve"> 2020</w:t>
            </w:r>
          </w:p>
        </w:tc>
        <w:tc>
          <w:tcPr>
            <w:tcW w:w="2761" w:type="dxa"/>
            <w:shd w:val="clear" w:color="auto" w:fill="auto"/>
          </w:tcPr>
          <w:p w14:paraId="127C61B9" w14:textId="77777777" w:rsidR="0051514F" w:rsidRDefault="0051514F" w:rsidP="006A4FF9">
            <w:pPr>
              <w:rPr>
                <w:sz w:val="20"/>
                <w:szCs w:val="20"/>
              </w:rPr>
            </w:pPr>
            <w:r w:rsidRPr="007B2099">
              <w:rPr>
                <w:sz w:val="20"/>
                <w:szCs w:val="20"/>
              </w:rPr>
              <w:t>Approval by UNFCCC</w:t>
            </w:r>
          </w:p>
          <w:p w14:paraId="48BDC328" w14:textId="77777777" w:rsidR="006A4FF9" w:rsidRDefault="006A4FF9" w:rsidP="006A4FF9">
            <w:pPr>
              <w:rPr>
                <w:sz w:val="20"/>
                <w:szCs w:val="20"/>
              </w:rPr>
            </w:pPr>
            <w:r>
              <w:rPr>
                <w:sz w:val="20"/>
                <w:szCs w:val="20"/>
              </w:rPr>
              <w:t xml:space="preserve">Quality of inputs </w:t>
            </w:r>
          </w:p>
          <w:p w14:paraId="32F4C447" w14:textId="77777777" w:rsidR="009A18D0" w:rsidRPr="007B2099" w:rsidRDefault="006A4FF9" w:rsidP="006A4FF9">
            <w:pPr>
              <w:rPr>
                <w:sz w:val="20"/>
                <w:szCs w:val="20"/>
              </w:rPr>
            </w:pPr>
            <w:r>
              <w:rPr>
                <w:sz w:val="20"/>
                <w:szCs w:val="20"/>
              </w:rPr>
              <w:t>Logic and relevance of information added</w:t>
            </w:r>
          </w:p>
        </w:tc>
        <w:tc>
          <w:tcPr>
            <w:tcW w:w="1847" w:type="dxa"/>
          </w:tcPr>
          <w:p w14:paraId="731A9D19" w14:textId="77777777" w:rsidR="003E49B4" w:rsidRDefault="003E49B4" w:rsidP="003E49B4">
            <w:pPr>
              <w:rPr>
                <w:sz w:val="20"/>
                <w:szCs w:val="20"/>
              </w:rPr>
            </w:pPr>
            <w:r>
              <w:rPr>
                <w:sz w:val="20"/>
                <w:szCs w:val="20"/>
              </w:rPr>
              <w:t>Deliverable 6:</w:t>
            </w:r>
          </w:p>
          <w:p w14:paraId="5F09C8F5" w14:textId="77777777" w:rsidR="009A18D0" w:rsidRDefault="003E49B4" w:rsidP="003E49B4">
            <w:pPr>
              <w:rPr>
                <w:sz w:val="20"/>
                <w:szCs w:val="20"/>
              </w:rPr>
            </w:pPr>
            <w:r>
              <w:rPr>
                <w:sz w:val="20"/>
                <w:szCs w:val="20"/>
              </w:rPr>
              <w:t>Payment: 20%</w:t>
            </w:r>
          </w:p>
        </w:tc>
      </w:tr>
    </w:tbl>
    <w:p w14:paraId="69516C34" w14:textId="77777777" w:rsidR="00ED464F" w:rsidRDefault="00ED464F" w:rsidP="00755E30">
      <w:pPr>
        <w:jc w:val="both"/>
        <w:rPr>
          <w:b/>
          <w:caps/>
          <w:u w:val="single"/>
        </w:rPr>
      </w:pPr>
    </w:p>
    <w:p w14:paraId="73B0FED9" w14:textId="77777777" w:rsidR="004F48D7" w:rsidRDefault="0085219F" w:rsidP="00755E30">
      <w:pPr>
        <w:jc w:val="both"/>
        <w:rPr>
          <w:b/>
          <w:caps/>
          <w:u w:val="single"/>
        </w:rPr>
      </w:pPr>
      <w:r>
        <w:rPr>
          <w:b/>
          <w:caps/>
          <w:u w:val="single"/>
        </w:rPr>
        <w:t xml:space="preserve">STArt and </w:t>
      </w:r>
      <w:r w:rsidR="004F48D7" w:rsidRPr="00A72495">
        <w:rPr>
          <w:b/>
          <w:caps/>
          <w:u w:val="single"/>
        </w:rPr>
        <w:t>Duration</w:t>
      </w:r>
    </w:p>
    <w:p w14:paraId="682DC39D" w14:textId="77777777" w:rsidR="00B007D9" w:rsidRDefault="00B007D9" w:rsidP="00B007D9">
      <w:pPr>
        <w:jc w:val="both"/>
      </w:pPr>
      <w:r>
        <w:t xml:space="preserve">Start date: </w:t>
      </w:r>
      <w:r>
        <w:tab/>
      </w:r>
      <w:r w:rsidR="00413557">
        <w:t>0</w:t>
      </w:r>
      <w:r>
        <w:t xml:space="preserve">1 </w:t>
      </w:r>
      <w:r w:rsidR="001A63D4">
        <w:t>January</w:t>
      </w:r>
      <w:r>
        <w:t xml:space="preserve"> 20</w:t>
      </w:r>
      <w:r w:rsidR="001A63D4">
        <w:t>20</w:t>
      </w:r>
    </w:p>
    <w:p w14:paraId="3EB656BF" w14:textId="77777777" w:rsidR="00B007D9" w:rsidRDefault="00B007D9" w:rsidP="00B007D9">
      <w:pPr>
        <w:jc w:val="both"/>
      </w:pPr>
      <w:r>
        <w:t xml:space="preserve">End date: </w:t>
      </w:r>
      <w:r>
        <w:tab/>
      </w:r>
      <w:r w:rsidR="00413557">
        <w:t>02</w:t>
      </w:r>
      <w:r w:rsidR="00565013">
        <w:t xml:space="preserve"> </w:t>
      </w:r>
      <w:r w:rsidR="00413557">
        <w:t>June</w:t>
      </w:r>
      <w:r>
        <w:t xml:space="preserve"> 2020</w:t>
      </w:r>
    </w:p>
    <w:p w14:paraId="742AA8C3" w14:textId="77777777" w:rsidR="00B007D9" w:rsidRDefault="00B007D9" w:rsidP="00B007D9">
      <w:pPr>
        <w:jc w:val="both"/>
      </w:pPr>
      <w:r>
        <w:t xml:space="preserve">Estimated </w:t>
      </w:r>
      <w:proofErr w:type="gramStart"/>
      <w:r>
        <w:t>work days</w:t>
      </w:r>
      <w:proofErr w:type="gramEnd"/>
      <w:r>
        <w:t xml:space="preserve">: </w:t>
      </w:r>
      <w:r w:rsidR="00413557">
        <w:t>4</w:t>
      </w:r>
      <w:r>
        <w:t>0 days</w:t>
      </w:r>
    </w:p>
    <w:p w14:paraId="239936B4" w14:textId="77777777" w:rsidR="004F48D7" w:rsidRDefault="004F48D7" w:rsidP="00755E30">
      <w:pPr>
        <w:jc w:val="both"/>
        <w:rPr>
          <w:b/>
          <w:caps/>
          <w:u w:val="single"/>
        </w:rPr>
      </w:pPr>
      <w:r w:rsidRPr="00A72495">
        <w:rPr>
          <w:b/>
          <w:caps/>
          <w:u w:val="single"/>
        </w:rPr>
        <w:t>Implementation and Reporting</w:t>
      </w:r>
    </w:p>
    <w:p w14:paraId="47D46697" w14:textId="77777777" w:rsidR="007C1665" w:rsidRPr="009659D7" w:rsidRDefault="007D5B12" w:rsidP="00755E30">
      <w:pPr>
        <w:jc w:val="both"/>
      </w:pPr>
      <w:r>
        <w:t xml:space="preserve">All coordination and reporting shall be via the Regional Collaboration Center, with payment authorized upon delivery by the UNFCCC secretariat. </w:t>
      </w:r>
      <w:r w:rsidR="009659D7" w:rsidRPr="009659D7">
        <w:t xml:space="preserve">The </w:t>
      </w:r>
      <w:r>
        <w:t xml:space="preserve">deliverables </w:t>
      </w:r>
      <w:r w:rsidR="009659D7">
        <w:t xml:space="preserve">shall be implemented based on </w:t>
      </w:r>
      <w:r>
        <w:t xml:space="preserve">the </w:t>
      </w:r>
      <w:r w:rsidR="00D94799">
        <w:t xml:space="preserve">above </w:t>
      </w:r>
      <w:r>
        <w:t>schedule</w:t>
      </w:r>
      <w:r w:rsidR="00D94799">
        <w:t>.</w:t>
      </w:r>
    </w:p>
    <w:p w14:paraId="3A708878" w14:textId="77777777" w:rsidR="004F48D7" w:rsidRDefault="004F48D7" w:rsidP="00755E30">
      <w:pPr>
        <w:jc w:val="both"/>
        <w:rPr>
          <w:b/>
          <w:caps/>
          <w:u w:val="single"/>
        </w:rPr>
      </w:pPr>
      <w:r w:rsidRPr="00A72495">
        <w:rPr>
          <w:b/>
          <w:caps/>
          <w:u w:val="single"/>
        </w:rPr>
        <w:t>Qualifications and Competences</w:t>
      </w:r>
    </w:p>
    <w:p w14:paraId="0A3046BA" w14:textId="77777777" w:rsidR="00A06B89" w:rsidRDefault="00EE3CBD" w:rsidP="00755E30">
      <w:pPr>
        <w:jc w:val="both"/>
      </w:pPr>
      <w:r>
        <w:t xml:space="preserve">The expert shall have </w:t>
      </w:r>
      <w:r w:rsidR="001A63D4">
        <w:t>3</w:t>
      </w:r>
      <w:r w:rsidR="00565013">
        <w:t xml:space="preserve"> </w:t>
      </w:r>
      <w:r>
        <w:t xml:space="preserve">or more </w:t>
      </w:r>
      <w:r w:rsidR="00A06B89" w:rsidRPr="00A06B89">
        <w:t>years of relevant working experience in climate policy, climate finance</w:t>
      </w:r>
      <w:r>
        <w:t>,</w:t>
      </w:r>
      <w:r w:rsidR="00565013">
        <w:t xml:space="preserve"> </w:t>
      </w:r>
      <w:r>
        <w:t>financ</w:t>
      </w:r>
      <w:r w:rsidR="00B763C6">
        <w:t xml:space="preserve">e </w:t>
      </w:r>
      <w:r w:rsidR="00A06B89" w:rsidRPr="00A06B89">
        <w:t>institutions, funds under of the Convention and Kyoto Protocol, multilateral and bilateral, public and private, and other sources of climate finance;</w:t>
      </w:r>
    </w:p>
    <w:p w14:paraId="79160CF5" w14:textId="77777777" w:rsidR="00A06B89" w:rsidRDefault="00A06B89" w:rsidP="00755E30">
      <w:pPr>
        <w:jc w:val="both"/>
      </w:pPr>
      <w:r w:rsidRPr="00A06B89">
        <w:t>Have demonstrated technical expertise in leading quantitative and qualitative re</w:t>
      </w:r>
      <w:r>
        <w:t>search on climate finance and investments</w:t>
      </w:r>
      <w:r w:rsidRPr="00A06B89">
        <w:t>;</w:t>
      </w:r>
    </w:p>
    <w:p w14:paraId="5DFC0678" w14:textId="77777777" w:rsidR="00A06B89" w:rsidRDefault="00A06B89" w:rsidP="00755E30">
      <w:pPr>
        <w:jc w:val="both"/>
      </w:pPr>
      <w:r w:rsidRPr="00A06B89">
        <w:t>Have an advanced university degree in environmental economics, energy, social, environmental studies, natural sciences, engineering, development studies, or any related discipline;</w:t>
      </w:r>
    </w:p>
    <w:p w14:paraId="2890FFFD" w14:textId="77777777" w:rsidR="00351836" w:rsidRDefault="00B67B6C" w:rsidP="00755E30">
      <w:pPr>
        <w:jc w:val="both"/>
      </w:pPr>
      <w:r>
        <w:t xml:space="preserve">Language skills: Proficiency in written and spoken </w:t>
      </w:r>
      <w:r w:rsidR="00C26D27">
        <w:t xml:space="preserve">English and </w:t>
      </w:r>
      <w:r w:rsidR="00A06B89">
        <w:t xml:space="preserve">Spanish </w:t>
      </w:r>
      <w:r>
        <w:t xml:space="preserve">is essential. </w:t>
      </w:r>
    </w:p>
    <w:p w14:paraId="5DB950F2" w14:textId="26C97F3D" w:rsidR="00DC4D53" w:rsidRPr="00A06B89" w:rsidRDefault="00DC4D53" w:rsidP="00DC4D53">
      <w:pPr>
        <w:jc w:val="both"/>
      </w:pPr>
      <w:r w:rsidRPr="00A06B89">
        <w:t xml:space="preserve">Only national or </w:t>
      </w:r>
      <w:r>
        <w:t xml:space="preserve">international </w:t>
      </w:r>
      <w:r w:rsidRPr="00A06B89">
        <w:t xml:space="preserve">consultants based in Dominican Republic </w:t>
      </w:r>
      <w:r>
        <w:t xml:space="preserve">will be considered as close coordination with the </w:t>
      </w:r>
      <w:proofErr w:type="spellStart"/>
      <w:r w:rsidRPr="00FB0D2A">
        <w:rPr>
          <w:rFonts w:cs="Arial"/>
        </w:rPr>
        <w:t>Consejo</w:t>
      </w:r>
      <w:proofErr w:type="spellEnd"/>
      <w:r w:rsidRPr="00FB0D2A">
        <w:rPr>
          <w:rFonts w:cs="Arial"/>
        </w:rPr>
        <w:t xml:space="preserve"> Nacional para el Cambio </w:t>
      </w:r>
      <w:proofErr w:type="spellStart"/>
      <w:r w:rsidRPr="00FB0D2A">
        <w:rPr>
          <w:rFonts w:cs="Arial"/>
        </w:rPr>
        <w:t>Climático</w:t>
      </w:r>
      <w:proofErr w:type="spellEnd"/>
      <w:r w:rsidRPr="00FB0D2A">
        <w:rPr>
          <w:rFonts w:cs="Arial"/>
        </w:rPr>
        <w:t xml:space="preserve"> </w:t>
      </w:r>
      <w:proofErr w:type="gramStart"/>
      <w:r w:rsidRPr="00FB0D2A">
        <w:rPr>
          <w:rFonts w:cs="Arial"/>
        </w:rPr>
        <w:t xml:space="preserve">y  </w:t>
      </w:r>
      <w:proofErr w:type="spellStart"/>
      <w:r w:rsidRPr="00FB0D2A">
        <w:rPr>
          <w:rFonts w:cs="Arial"/>
        </w:rPr>
        <w:t>Mecanismo</w:t>
      </w:r>
      <w:proofErr w:type="spellEnd"/>
      <w:proofErr w:type="gramEnd"/>
      <w:r w:rsidRPr="00FB0D2A">
        <w:rPr>
          <w:rFonts w:cs="Arial"/>
        </w:rPr>
        <w:t xml:space="preserve"> de Desarrollo </w:t>
      </w:r>
      <w:proofErr w:type="spellStart"/>
      <w:r w:rsidRPr="00FB0D2A">
        <w:rPr>
          <w:rFonts w:cs="Arial"/>
        </w:rPr>
        <w:t>Limpio</w:t>
      </w:r>
      <w:proofErr w:type="spellEnd"/>
      <w:r>
        <w:rPr>
          <w:rFonts w:cs="Arial"/>
        </w:rPr>
        <w:t xml:space="preserve"> is required</w:t>
      </w:r>
      <w:r>
        <w:t>.</w:t>
      </w:r>
    </w:p>
    <w:p w14:paraId="29632B0F" w14:textId="77777777" w:rsidR="004F48D7" w:rsidRPr="00A72495" w:rsidRDefault="004F48D7" w:rsidP="00755E30">
      <w:pPr>
        <w:jc w:val="both"/>
        <w:rPr>
          <w:b/>
          <w:caps/>
          <w:u w:val="single"/>
        </w:rPr>
      </w:pPr>
      <w:r w:rsidRPr="00A72495">
        <w:rPr>
          <w:b/>
          <w:caps/>
          <w:u w:val="single"/>
        </w:rPr>
        <w:t>Remuneration</w:t>
      </w:r>
    </w:p>
    <w:p w14:paraId="5C779B70" w14:textId="77777777" w:rsidR="00351836" w:rsidRPr="00351836" w:rsidRDefault="003F4AA0" w:rsidP="00B007D9">
      <w:pPr>
        <w:jc w:val="both"/>
      </w:pPr>
      <w:r>
        <w:t>A c</w:t>
      </w:r>
      <w:r w:rsidR="00351836">
        <w:t xml:space="preserve">ompetitive remuneration </w:t>
      </w:r>
      <w:r w:rsidR="0090735C">
        <w:t xml:space="preserve">as per United Nations prevailing rules and regulations </w:t>
      </w:r>
      <w:r w:rsidR="00351836">
        <w:t>will be provided.</w:t>
      </w:r>
    </w:p>
    <w:p w14:paraId="73931258" w14:textId="77777777" w:rsidR="004F48D7" w:rsidRPr="00A72495" w:rsidRDefault="004F48D7" w:rsidP="00755E30">
      <w:pPr>
        <w:jc w:val="both"/>
        <w:rPr>
          <w:b/>
          <w:caps/>
          <w:u w:val="single"/>
        </w:rPr>
      </w:pPr>
      <w:r w:rsidRPr="00A72495">
        <w:rPr>
          <w:b/>
          <w:caps/>
          <w:u w:val="single"/>
        </w:rPr>
        <w:t>How to apply</w:t>
      </w:r>
    </w:p>
    <w:p w14:paraId="6C33A111" w14:textId="77777777" w:rsidR="00CA56E9" w:rsidRDefault="00CA56E9" w:rsidP="00CA56E9">
      <w:pPr>
        <w:jc w:val="both"/>
      </w:pPr>
      <w:r>
        <w:t>I</w:t>
      </w:r>
      <w:r w:rsidRPr="00DE5476">
        <w:t xml:space="preserve">nterested </w:t>
      </w:r>
      <w:r>
        <w:t>candidates</w:t>
      </w:r>
      <w:r w:rsidR="00565013">
        <w:t xml:space="preserve"> </w:t>
      </w:r>
      <w:r>
        <w:t xml:space="preserve">whose qualification and experience match with what we are looking for, should send their application by </w:t>
      </w:r>
      <w:r w:rsidR="00587B5C">
        <w:t xml:space="preserve">completing a P11 </w:t>
      </w:r>
      <w:r w:rsidR="009E3EC2">
        <w:t>on the below web</w:t>
      </w:r>
      <w:r w:rsidR="00113385">
        <w:t xml:space="preserve"> </w:t>
      </w:r>
      <w:r w:rsidR="00113385">
        <w:lastRenderedPageBreak/>
        <w:t>link</w:t>
      </w:r>
      <w:hyperlink r:id="rId11" w:history="1">
        <w:r w:rsidR="00685A53" w:rsidRPr="00905DB4">
          <w:rPr>
            <w:rStyle w:val="Hyperlink"/>
          </w:rPr>
          <w:t>https://unfccc.int/secretariat/employment/consultancy.html</w:t>
        </w:r>
      </w:hyperlink>
      <w:r w:rsidR="00685A53">
        <w:t>. A copy of the same to be e</w:t>
      </w:r>
      <w:r w:rsidR="00565013">
        <w:t>-</w:t>
      </w:r>
      <w:r w:rsidR="00685A53">
        <w:t>mailed to</w:t>
      </w:r>
      <w:r w:rsidR="00565013">
        <w:t xml:space="preserve"> </w:t>
      </w:r>
      <w:hyperlink r:id="rId12" w:history="1">
        <w:r w:rsidRPr="003B33C8">
          <w:rPr>
            <w:rStyle w:val="Hyperlink"/>
          </w:rPr>
          <w:t>RCCStgeorges@unfccc.int</w:t>
        </w:r>
      </w:hyperlink>
      <w:r w:rsidR="00565013">
        <w:t xml:space="preserve"> </w:t>
      </w:r>
      <w:r>
        <w:rPr>
          <w:rStyle w:val="Hyperlink"/>
          <w:color w:val="auto"/>
          <w:u w:val="none"/>
        </w:rPr>
        <w:t>containing the following</w:t>
      </w:r>
      <w:r w:rsidRPr="00D936FA">
        <w:t>.</w:t>
      </w:r>
    </w:p>
    <w:p w14:paraId="13B706FC" w14:textId="77777777" w:rsidR="00DE5476" w:rsidRDefault="00584235" w:rsidP="00351836">
      <w:pPr>
        <w:pStyle w:val="ListParagraph"/>
        <w:numPr>
          <w:ilvl w:val="0"/>
          <w:numId w:val="8"/>
        </w:numPr>
        <w:jc w:val="both"/>
      </w:pPr>
      <w:r>
        <w:t xml:space="preserve">A </w:t>
      </w:r>
      <w:r w:rsidR="00A06B89">
        <w:t xml:space="preserve">summary of a </w:t>
      </w:r>
      <w:r>
        <w:t>t</w:t>
      </w:r>
      <w:r w:rsidR="00DE5476" w:rsidRPr="00DE5476">
        <w:t>echnical proposal that will have a description of methodology for implementing the assignment and the tasks therein.</w:t>
      </w:r>
    </w:p>
    <w:p w14:paraId="6F93A41F" w14:textId="77777777" w:rsidR="00DE5476" w:rsidRDefault="00DE5476" w:rsidP="00351836">
      <w:pPr>
        <w:pStyle w:val="ListParagraph"/>
        <w:numPr>
          <w:ilvl w:val="0"/>
          <w:numId w:val="8"/>
        </w:numPr>
        <w:jc w:val="both"/>
      </w:pPr>
      <w:r w:rsidRPr="00DE5476">
        <w:t>A timetable for the completion of the work aligned with the reporting requirements and tentative timeline;</w:t>
      </w:r>
    </w:p>
    <w:p w14:paraId="0E0C2A68" w14:textId="77777777" w:rsidR="00584235" w:rsidRDefault="008A7C95" w:rsidP="00ED33BA">
      <w:pPr>
        <w:pStyle w:val="ListParagraph"/>
        <w:numPr>
          <w:ilvl w:val="0"/>
          <w:numId w:val="8"/>
        </w:numPr>
        <w:jc w:val="both"/>
      </w:pPr>
      <w:r>
        <w:t>Complete</w:t>
      </w:r>
      <w:r w:rsidR="00565013">
        <w:t>d</w:t>
      </w:r>
      <w:r>
        <w:t xml:space="preserve"> P11 shall be submitted in the UNFCCC system to roster of experts</w:t>
      </w:r>
    </w:p>
    <w:p w14:paraId="03C3960D" w14:textId="77777777" w:rsidR="004C27CE" w:rsidRPr="00F2484A" w:rsidRDefault="00142299" w:rsidP="00F2484A">
      <w:pPr>
        <w:jc w:val="both"/>
      </w:pPr>
      <w:r>
        <w:t>Only candidates under serious consideration will be invited for an interview via teleconference.</w:t>
      </w:r>
    </w:p>
    <w:sectPr w:rsidR="004C27CE" w:rsidRPr="00F2484A" w:rsidSect="007F38D6">
      <w:head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4AE13" w14:textId="77777777" w:rsidR="00AA1ABE" w:rsidRDefault="00AA1ABE" w:rsidP="008A49C6">
      <w:pPr>
        <w:spacing w:after="0" w:line="240" w:lineRule="auto"/>
      </w:pPr>
      <w:r>
        <w:separator/>
      </w:r>
    </w:p>
  </w:endnote>
  <w:endnote w:type="continuationSeparator" w:id="0">
    <w:p w14:paraId="777FE18C" w14:textId="77777777" w:rsidR="00AA1ABE" w:rsidRDefault="00AA1ABE" w:rsidP="008A4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CC728" w14:textId="77777777" w:rsidR="00AA1ABE" w:rsidRDefault="00AA1ABE" w:rsidP="008A49C6">
      <w:pPr>
        <w:spacing w:after="0" w:line="240" w:lineRule="auto"/>
      </w:pPr>
      <w:r>
        <w:separator/>
      </w:r>
    </w:p>
  </w:footnote>
  <w:footnote w:type="continuationSeparator" w:id="0">
    <w:p w14:paraId="369E3C47" w14:textId="77777777" w:rsidR="00AA1ABE" w:rsidRDefault="00AA1ABE" w:rsidP="008A49C6">
      <w:pPr>
        <w:spacing w:after="0" w:line="240" w:lineRule="auto"/>
      </w:pPr>
      <w:r>
        <w:continuationSeparator/>
      </w:r>
    </w:p>
  </w:footnote>
  <w:footnote w:id="1">
    <w:p w14:paraId="0D6F24B2" w14:textId="77777777" w:rsidR="002551B9" w:rsidRPr="00810367" w:rsidRDefault="002551B9">
      <w:pPr>
        <w:pStyle w:val="FootnoteText"/>
        <w:rPr>
          <w:rFonts w:cstheme="minorHAnsi"/>
          <w:sz w:val="16"/>
          <w:szCs w:val="16"/>
        </w:rPr>
      </w:pPr>
      <w:r w:rsidRPr="00810367">
        <w:rPr>
          <w:rStyle w:val="FootnoteReference"/>
          <w:rFonts w:cstheme="minorHAnsi"/>
          <w:sz w:val="16"/>
          <w:szCs w:val="16"/>
        </w:rPr>
        <w:footnoteRef/>
      </w:r>
      <w:r w:rsidRPr="00810367">
        <w:rPr>
          <w:rFonts w:cstheme="minorHAnsi"/>
          <w:sz w:val="16"/>
          <w:szCs w:val="16"/>
        </w:rPr>
        <w:t xml:space="preserve"> </w:t>
      </w:r>
      <w:r w:rsidRPr="00810367">
        <w:rPr>
          <w:rFonts w:cstheme="minorHAnsi"/>
          <w:color w:val="545454"/>
          <w:sz w:val="16"/>
          <w:szCs w:val="16"/>
          <w:shd w:val="clear" w:color="auto" w:fill="FFFFFF"/>
        </w:rPr>
        <w:t>Global Climate Change Alliance </w:t>
      </w:r>
    </w:p>
  </w:footnote>
  <w:footnote w:id="2">
    <w:p w14:paraId="7BDF72F0" w14:textId="77777777" w:rsidR="002551B9" w:rsidRDefault="002551B9">
      <w:pPr>
        <w:pStyle w:val="FootnoteText"/>
      </w:pPr>
      <w:r w:rsidRPr="00810367">
        <w:rPr>
          <w:rStyle w:val="FootnoteReference"/>
          <w:rFonts w:cstheme="minorHAnsi"/>
          <w:sz w:val="16"/>
          <w:szCs w:val="16"/>
        </w:rPr>
        <w:footnoteRef/>
      </w:r>
      <w:r w:rsidRPr="00810367">
        <w:rPr>
          <w:rFonts w:cstheme="minorHAnsi"/>
          <w:sz w:val="16"/>
          <w:szCs w:val="16"/>
        </w:rPr>
        <w:t xml:space="preserve"> </w:t>
      </w:r>
      <w:r w:rsidRPr="00810367">
        <w:rPr>
          <w:rFonts w:cstheme="minorHAnsi"/>
          <w:color w:val="545454"/>
          <w:sz w:val="16"/>
          <w:szCs w:val="16"/>
          <w:shd w:val="clear" w:color="auto" w:fill="FFFFFF"/>
        </w:rPr>
        <w:t>Collaborative Instruments for Ambitious Climate Action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F936F" w14:textId="7239EADA" w:rsidR="00ED33BA" w:rsidRDefault="00F84F12">
    <w:pPr>
      <w:pStyle w:val="Header"/>
    </w:pPr>
    <w:r>
      <w:rPr>
        <w:noProof/>
        <w:lang w:val="es-ES" w:eastAsia="es-ES"/>
      </w:rPr>
      <w:drawing>
        <wp:anchor distT="0" distB="0" distL="114300" distR="114300" simplePos="0" relativeHeight="251658240" behindDoc="0" locked="0" layoutInCell="1" allowOverlap="1" wp14:anchorId="53EAAF85" wp14:editId="1E8C3D8C">
          <wp:simplePos x="0" y="0"/>
          <wp:positionH relativeFrom="margin">
            <wp:posOffset>4705350</wp:posOffset>
          </wp:positionH>
          <wp:positionV relativeFrom="paragraph">
            <wp:posOffset>-11430</wp:posOffset>
          </wp:positionV>
          <wp:extent cx="1644650" cy="914400"/>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cc_logo_-_st_geroges_250.jpg"/>
                  <pic:cNvPicPr/>
                </pic:nvPicPr>
                <pic:blipFill>
                  <a:blip r:embed="rId1">
                    <a:extLst>
                      <a:ext uri="{28A0092B-C50C-407E-A947-70E740481C1C}">
                        <a14:useLocalDpi xmlns:a14="http://schemas.microsoft.com/office/drawing/2010/main" val="0"/>
                      </a:ext>
                    </a:extLst>
                  </a:blip>
                  <a:stretch>
                    <a:fillRect/>
                  </a:stretch>
                </pic:blipFill>
                <pic:spPr>
                  <a:xfrm>
                    <a:off x="0" y="0"/>
                    <a:ext cx="1644650" cy="914400"/>
                  </a:xfrm>
                  <a:prstGeom prst="rect">
                    <a:avLst/>
                  </a:prstGeom>
                </pic:spPr>
              </pic:pic>
            </a:graphicData>
          </a:graphic>
          <wp14:sizeRelH relativeFrom="margin">
            <wp14:pctWidth>0</wp14:pctWidth>
          </wp14:sizeRelH>
          <wp14:sizeRelV relativeFrom="margin">
            <wp14:pctHeight>0</wp14:pctHeight>
          </wp14:sizeRelV>
        </wp:anchor>
      </w:drawing>
    </w:r>
    <w:r>
      <w:rPr>
        <w:noProof/>
        <w:lang w:val="es-ES" w:eastAsia="es-ES"/>
      </w:rPr>
      <w:drawing>
        <wp:inline distT="0" distB="0" distL="0" distR="0" wp14:anchorId="6B9AF512" wp14:editId="41DD820B">
          <wp:extent cx="1838325" cy="836281"/>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NCCMD (ACT. 23.6.17)-01.jpg"/>
                  <pic:cNvPicPr/>
                </pic:nvPicPr>
                <pic:blipFill>
                  <a:blip r:embed="rId2">
                    <a:extLst>
                      <a:ext uri="{28A0092B-C50C-407E-A947-70E740481C1C}">
                        <a14:useLocalDpi xmlns:a14="http://schemas.microsoft.com/office/drawing/2010/main" val="0"/>
                      </a:ext>
                    </a:extLst>
                  </a:blip>
                  <a:stretch>
                    <a:fillRect/>
                  </a:stretch>
                </pic:blipFill>
                <pic:spPr>
                  <a:xfrm>
                    <a:off x="0" y="0"/>
                    <a:ext cx="1856234" cy="84442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11FCE"/>
    <w:multiLevelType w:val="hybridMultilevel"/>
    <w:tmpl w:val="C81C95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7106DD5"/>
    <w:multiLevelType w:val="hybridMultilevel"/>
    <w:tmpl w:val="8752E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F2B1C"/>
    <w:multiLevelType w:val="hybridMultilevel"/>
    <w:tmpl w:val="FFAC30D2"/>
    <w:lvl w:ilvl="0" w:tplc="3F1EC2AE">
      <w:numFmt w:val="bullet"/>
      <w:lvlText w:val=""/>
      <w:lvlJc w:val="left"/>
      <w:pPr>
        <w:ind w:left="774" w:hanging="360"/>
      </w:pPr>
      <w:rPr>
        <w:rFonts w:ascii="Symbol" w:eastAsia="Calibri" w:hAnsi="Symbol" w:cs="Times New Roman" w:hint="default"/>
      </w:rPr>
    </w:lvl>
    <w:lvl w:ilvl="1" w:tplc="04090003">
      <w:start w:val="1"/>
      <w:numFmt w:val="bullet"/>
      <w:lvlText w:val="o"/>
      <w:lvlJc w:val="left"/>
      <w:pPr>
        <w:ind w:left="1494" w:hanging="360"/>
      </w:pPr>
      <w:rPr>
        <w:rFonts w:ascii="Courier New" w:hAnsi="Courier New" w:cs="Courier New" w:hint="default"/>
      </w:rPr>
    </w:lvl>
    <w:lvl w:ilvl="2" w:tplc="04090005">
      <w:start w:val="1"/>
      <w:numFmt w:val="bullet"/>
      <w:lvlText w:val=""/>
      <w:lvlJc w:val="left"/>
      <w:pPr>
        <w:ind w:left="2214" w:hanging="360"/>
      </w:pPr>
      <w:rPr>
        <w:rFonts w:ascii="Wingdings" w:hAnsi="Wingdings" w:hint="default"/>
      </w:rPr>
    </w:lvl>
    <w:lvl w:ilvl="3" w:tplc="04090001">
      <w:start w:val="1"/>
      <w:numFmt w:val="bullet"/>
      <w:lvlText w:val=""/>
      <w:lvlJc w:val="left"/>
      <w:pPr>
        <w:ind w:left="2934" w:hanging="360"/>
      </w:pPr>
      <w:rPr>
        <w:rFonts w:ascii="Symbol" w:hAnsi="Symbol" w:hint="default"/>
      </w:rPr>
    </w:lvl>
    <w:lvl w:ilvl="4" w:tplc="04090003">
      <w:start w:val="1"/>
      <w:numFmt w:val="bullet"/>
      <w:lvlText w:val="o"/>
      <w:lvlJc w:val="left"/>
      <w:pPr>
        <w:ind w:left="3654" w:hanging="360"/>
      </w:pPr>
      <w:rPr>
        <w:rFonts w:ascii="Courier New" w:hAnsi="Courier New" w:cs="Courier New" w:hint="default"/>
      </w:rPr>
    </w:lvl>
    <w:lvl w:ilvl="5" w:tplc="04090005">
      <w:start w:val="1"/>
      <w:numFmt w:val="bullet"/>
      <w:lvlText w:val=""/>
      <w:lvlJc w:val="left"/>
      <w:pPr>
        <w:ind w:left="4374" w:hanging="360"/>
      </w:pPr>
      <w:rPr>
        <w:rFonts w:ascii="Wingdings" w:hAnsi="Wingdings" w:hint="default"/>
      </w:rPr>
    </w:lvl>
    <w:lvl w:ilvl="6" w:tplc="04090001">
      <w:start w:val="1"/>
      <w:numFmt w:val="bullet"/>
      <w:lvlText w:val=""/>
      <w:lvlJc w:val="left"/>
      <w:pPr>
        <w:ind w:left="5094" w:hanging="360"/>
      </w:pPr>
      <w:rPr>
        <w:rFonts w:ascii="Symbol" w:hAnsi="Symbol" w:hint="default"/>
      </w:rPr>
    </w:lvl>
    <w:lvl w:ilvl="7" w:tplc="04090003">
      <w:start w:val="1"/>
      <w:numFmt w:val="bullet"/>
      <w:lvlText w:val="o"/>
      <w:lvlJc w:val="left"/>
      <w:pPr>
        <w:ind w:left="5814" w:hanging="360"/>
      </w:pPr>
      <w:rPr>
        <w:rFonts w:ascii="Courier New" w:hAnsi="Courier New" w:cs="Courier New" w:hint="default"/>
      </w:rPr>
    </w:lvl>
    <w:lvl w:ilvl="8" w:tplc="04090005">
      <w:start w:val="1"/>
      <w:numFmt w:val="bullet"/>
      <w:lvlText w:val=""/>
      <w:lvlJc w:val="left"/>
      <w:pPr>
        <w:ind w:left="6534" w:hanging="360"/>
      </w:pPr>
      <w:rPr>
        <w:rFonts w:ascii="Wingdings" w:hAnsi="Wingdings" w:hint="default"/>
      </w:rPr>
    </w:lvl>
  </w:abstractNum>
  <w:abstractNum w:abstractNumId="3" w15:restartNumberingAfterBreak="0">
    <w:nsid w:val="265C41E4"/>
    <w:multiLevelType w:val="hybridMultilevel"/>
    <w:tmpl w:val="79B6B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E36219"/>
    <w:multiLevelType w:val="hybridMultilevel"/>
    <w:tmpl w:val="27EE2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87123A"/>
    <w:multiLevelType w:val="hybridMultilevel"/>
    <w:tmpl w:val="EB1A075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613729"/>
    <w:multiLevelType w:val="hybridMultilevel"/>
    <w:tmpl w:val="7980C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1601B4"/>
    <w:multiLevelType w:val="hybridMultilevel"/>
    <w:tmpl w:val="29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15259E"/>
    <w:multiLevelType w:val="hybridMultilevel"/>
    <w:tmpl w:val="5CDA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B4C612C"/>
    <w:multiLevelType w:val="hybridMultilevel"/>
    <w:tmpl w:val="21701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27657F"/>
    <w:multiLevelType w:val="hybridMultilevel"/>
    <w:tmpl w:val="FEC0A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9"/>
  </w:num>
  <w:num w:numId="5">
    <w:abstractNumId w:val="10"/>
  </w:num>
  <w:num w:numId="6">
    <w:abstractNumId w:val="0"/>
  </w:num>
  <w:num w:numId="7">
    <w:abstractNumId w:val="1"/>
  </w:num>
  <w:num w:numId="8">
    <w:abstractNumId w:val="4"/>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0992"/>
    <w:rsid w:val="00027B86"/>
    <w:rsid w:val="00036FF5"/>
    <w:rsid w:val="00056C88"/>
    <w:rsid w:val="00067104"/>
    <w:rsid w:val="0009169F"/>
    <w:rsid w:val="000C1B58"/>
    <w:rsid w:val="000D0992"/>
    <w:rsid w:val="000D2C9F"/>
    <w:rsid w:val="000E4C47"/>
    <w:rsid w:val="000F67DB"/>
    <w:rsid w:val="00105DA0"/>
    <w:rsid w:val="00113385"/>
    <w:rsid w:val="00127A7C"/>
    <w:rsid w:val="00142299"/>
    <w:rsid w:val="00146A0B"/>
    <w:rsid w:val="0014733F"/>
    <w:rsid w:val="0017780D"/>
    <w:rsid w:val="00184785"/>
    <w:rsid w:val="001A19AF"/>
    <w:rsid w:val="001A63D4"/>
    <w:rsid w:val="001C2082"/>
    <w:rsid w:val="001C7925"/>
    <w:rsid w:val="001D012C"/>
    <w:rsid w:val="001E22C2"/>
    <w:rsid w:val="00206074"/>
    <w:rsid w:val="002149F0"/>
    <w:rsid w:val="00245F85"/>
    <w:rsid w:val="00250977"/>
    <w:rsid w:val="002551B9"/>
    <w:rsid w:val="00255545"/>
    <w:rsid w:val="002936C5"/>
    <w:rsid w:val="002E30BE"/>
    <w:rsid w:val="00301F13"/>
    <w:rsid w:val="00351836"/>
    <w:rsid w:val="003C6039"/>
    <w:rsid w:val="003D0B40"/>
    <w:rsid w:val="003E2252"/>
    <w:rsid w:val="003E49B4"/>
    <w:rsid w:val="003F018C"/>
    <w:rsid w:val="003F29AE"/>
    <w:rsid w:val="003F4AA0"/>
    <w:rsid w:val="00412BFC"/>
    <w:rsid w:val="00413557"/>
    <w:rsid w:val="00437EF0"/>
    <w:rsid w:val="00446471"/>
    <w:rsid w:val="00446AA3"/>
    <w:rsid w:val="00470CCF"/>
    <w:rsid w:val="00484F60"/>
    <w:rsid w:val="00494277"/>
    <w:rsid w:val="00495964"/>
    <w:rsid w:val="004B1FD0"/>
    <w:rsid w:val="004C27CE"/>
    <w:rsid w:val="004D673D"/>
    <w:rsid w:val="004D704E"/>
    <w:rsid w:val="004F48D7"/>
    <w:rsid w:val="0051514F"/>
    <w:rsid w:val="00516A3E"/>
    <w:rsid w:val="00531953"/>
    <w:rsid w:val="00547B40"/>
    <w:rsid w:val="005631A3"/>
    <w:rsid w:val="00565013"/>
    <w:rsid w:val="0057294E"/>
    <w:rsid w:val="0057716E"/>
    <w:rsid w:val="00584235"/>
    <w:rsid w:val="00587B5C"/>
    <w:rsid w:val="005A5023"/>
    <w:rsid w:val="005B06A6"/>
    <w:rsid w:val="005B1A06"/>
    <w:rsid w:val="005C3B5A"/>
    <w:rsid w:val="005D1F28"/>
    <w:rsid w:val="00604688"/>
    <w:rsid w:val="00617851"/>
    <w:rsid w:val="006327F3"/>
    <w:rsid w:val="0066260F"/>
    <w:rsid w:val="00685A53"/>
    <w:rsid w:val="00695767"/>
    <w:rsid w:val="006A4FF9"/>
    <w:rsid w:val="006A5252"/>
    <w:rsid w:val="006A62CA"/>
    <w:rsid w:val="006B0D9F"/>
    <w:rsid w:val="006C01F4"/>
    <w:rsid w:val="006C3CDD"/>
    <w:rsid w:val="006D0A80"/>
    <w:rsid w:val="006E090D"/>
    <w:rsid w:val="006E141E"/>
    <w:rsid w:val="006E252B"/>
    <w:rsid w:val="00700986"/>
    <w:rsid w:val="00710BF4"/>
    <w:rsid w:val="00722987"/>
    <w:rsid w:val="0073525C"/>
    <w:rsid w:val="007542D2"/>
    <w:rsid w:val="00755E30"/>
    <w:rsid w:val="00770A32"/>
    <w:rsid w:val="00772AF7"/>
    <w:rsid w:val="00773BA4"/>
    <w:rsid w:val="00781E5E"/>
    <w:rsid w:val="00787887"/>
    <w:rsid w:val="007C1665"/>
    <w:rsid w:val="007C48F7"/>
    <w:rsid w:val="007D4B71"/>
    <w:rsid w:val="007D51B6"/>
    <w:rsid w:val="007D5B12"/>
    <w:rsid w:val="007F0B5C"/>
    <w:rsid w:val="007F38D6"/>
    <w:rsid w:val="008000EF"/>
    <w:rsid w:val="00810367"/>
    <w:rsid w:val="00811E7E"/>
    <w:rsid w:val="00814557"/>
    <w:rsid w:val="008236BA"/>
    <w:rsid w:val="0085219F"/>
    <w:rsid w:val="00861B5C"/>
    <w:rsid w:val="00863AB3"/>
    <w:rsid w:val="00867055"/>
    <w:rsid w:val="00881DE0"/>
    <w:rsid w:val="0088300E"/>
    <w:rsid w:val="008A49C6"/>
    <w:rsid w:val="008A7C95"/>
    <w:rsid w:val="008A7F80"/>
    <w:rsid w:val="008B172D"/>
    <w:rsid w:val="008C269C"/>
    <w:rsid w:val="0090735C"/>
    <w:rsid w:val="0090757F"/>
    <w:rsid w:val="009647B6"/>
    <w:rsid w:val="009659D7"/>
    <w:rsid w:val="00976C2F"/>
    <w:rsid w:val="00976F44"/>
    <w:rsid w:val="009915C6"/>
    <w:rsid w:val="009A18D0"/>
    <w:rsid w:val="009D17EB"/>
    <w:rsid w:val="009D6260"/>
    <w:rsid w:val="009E3EC2"/>
    <w:rsid w:val="00A06B89"/>
    <w:rsid w:val="00A65B1F"/>
    <w:rsid w:val="00A72495"/>
    <w:rsid w:val="00A92CAB"/>
    <w:rsid w:val="00A96E98"/>
    <w:rsid w:val="00AA1ABE"/>
    <w:rsid w:val="00AC2763"/>
    <w:rsid w:val="00B007D9"/>
    <w:rsid w:val="00B00E77"/>
    <w:rsid w:val="00B06847"/>
    <w:rsid w:val="00B25B65"/>
    <w:rsid w:val="00B620A2"/>
    <w:rsid w:val="00B67B6C"/>
    <w:rsid w:val="00B74623"/>
    <w:rsid w:val="00B763C6"/>
    <w:rsid w:val="00B94D0E"/>
    <w:rsid w:val="00BA6EE7"/>
    <w:rsid w:val="00BA7A2A"/>
    <w:rsid w:val="00BC6258"/>
    <w:rsid w:val="00BD064C"/>
    <w:rsid w:val="00BD5653"/>
    <w:rsid w:val="00BF131E"/>
    <w:rsid w:val="00BF4A34"/>
    <w:rsid w:val="00C26D27"/>
    <w:rsid w:val="00C52198"/>
    <w:rsid w:val="00C75D69"/>
    <w:rsid w:val="00C77BB3"/>
    <w:rsid w:val="00CA0A80"/>
    <w:rsid w:val="00CA56E9"/>
    <w:rsid w:val="00CF03D3"/>
    <w:rsid w:val="00D12DBC"/>
    <w:rsid w:val="00D24FE5"/>
    <w:rsid w:val="00D51472"/>
    <w:rsid w:val="00D67501"/>
    <w:rsid w:val="00D71EAA"/>
    <w:rsid w:val="00D94799"/>
    <w:rsid w:val="00DC4D53"/>
    <w:rsid w:val="00DD0917"/>
    <w:rsid w:val="00DE5476"/>
    <w:rsid w:val="00E740D0"/>
    <w:rsid w:val="00E74E24"/>
    <w:rsid w:val="00E83257"/>
    <w:rsid w:val="00E85B65"/>
    <w:rsid w:val="00E90AA5"/>
    <w:rsid w:val="00EC70AE"/>
    <w:rsid w:val="00ED1D76"/>
    <w:rsid w:val="00ED33BA"/>
    <w:rsid w:val="00ED464F"/>
    <w:rsid w:val="00EE009E"/>
    <w:rsid w:val="00EE3CBD"/>
    <w:rsid w:val="00F15BD1"/>
    <w:rsid w:val="00F2484A"/>
    <w:rsid w:val="00F51A39"/>
    <w:rsid w:val="00F76E4D"/>
    <w:rsid w:val="00F84F12"/>
    <w:rsid w:val="00F85425"/>
    <w:rsid w:val="00FB0D2A"/>
    <w:rsid w:val="00FB0EE5"/>
    <w:rsid w:val="00FD5F82"/>
    <w:rsid w:val="00FD611D"/>
    <w:rsid w:val="00FE7907"/>
    <w:rsid w:val="00FF0E85"/>
    <w:rsid w:val="00FF524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35CCE"/>
  <w15:docId w15:val="{B3203298-62E5-4EAB-961D-EC7C62D4F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8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84A"/>
    <w:pPr>
      <w:ind w:left="720"/>
      <w:contextualSpacing/>
    </w:pPr>
  </w:style>
  <w:style w:type="character" w:styleId="Hyperlink">
    <w:name w:val="Hyperlink"/>
    <w:basedOn w:val="DefaultParagraphFont"/>
    <w:uiPriority w:val="99"/>
    <w:unhideWhenUsed/>
    <w:rsid w:val="00351836"/>
    <w:rPr>
      <w:color w:val="0563C1" w:themeColor="hyperlink"/>
      <w:u w:val="single"/>
    </w:rPr>
  </w:style>
  <w:style w:type="paragraph" w:styleId="BalloonText">
    <w:name w:val="Balloon Text"/>
    <w:basedOn w:val="Normal"/>
    <w:link w:val="BalloonTextChar"/>
    <w:uiPriority w:val="99"/>
    <w:semiHidden/>
    <w:unhideWhenUsed/>
    <w:rsid w:val="000671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104"/>
    <w:rPr>
      <w:rFonts w:ascii="Segoe UI" w:hAnsi="Segoe UI" w:cs="Segoe UI"/>
      <w:sz w:val="18"/>
      <w:szCs w:val="18"/>
    </w:rPr>
  </w:style>
  <w:style w:type="character" w:styleId="CommentReference">
    <w:name w:val="annotation reference"/>
    <w:basedOn w:val="DefaultParagraphFont"/>
    <w:uiPriority w:val="99"/>
    <w:semiHidden/>
    <w:unhideWhenUsed/>
    <w:rsid w:val="00067104"/>
    <w:rPr>
      <w:sz w:val="16"/>
      <w:szCs w:val="16"/>
    </w:rPr>
  </w:style>
  <w:style w:type="paragraph" w:styleId="CommentText">
    <w:name w:val="annotation text"/>
    <w:basedOn w:val="Normal"/>
    <w:link w:val="CommentTextChar"/>
    <w:uiPriority w:val="99"/>
    <w:semiHidden/>
    <w:unhideWhenUsed/>
    <w:rsid w:val="00067104"/>
    <w:pPr>
      <w:spacing w:line="240" w:lineRule="auto"/>
    </w:pPr>
    <w:rPr>
      <w:sz w:val="20"/>
      <w:szCs w:val="20"/>
    </w:rPr>
  </w:style>
  <w:style w:type="character" w:customStyle="1" w:styleId="CommentTextChar">
    <w:name w:val="Comment Text Char"/>
    <w:basedOn w:val="DefaultParagraphFont"/>
    <w:link w:val="CommentText"/>
    <w:uiPriority w:val="99"/>
    <w:semiHidden/>
    <w:rsid w:val="00067104"/>
    <w:rPr>
      <w:sz w:val="20"/>
      <w:szCs w:val="20"/>
    </w:rPr>
  </w:style>
  <w:style w:type="paragraph" w:styleId="CommentSubject">
    <w:name w:val="annotation subject"/>
    <w:basedOn w:val="CommentText"/>
    <w:next w:val="CommentText"/>
    <w:link w:val="CommentSubjectChar"/>
    <w:uiPriority w:val="99"/>
    <w:semiHidden/>
    <w:unhideWhenUsed/>
    <w:rsid w:val="00067104"/>
    <w:rPr>
      <w:b/>
      <w:bCs/>
    </w:rPr>
  </w:style>
  <w:style w:type="character" w:customStyle="1" w:styleId="CommentSubjectChar">
    <w:name w:val="Comment Subject Char"/>
    <w:basedOn w:val="CommentTextChar"/>
    <w:link w:val="CommentSubject"/>
    <w:uiPriority w:val="99"/>
    <w:semiHidden/>
    <w:rsid w:val="00067104"/>
    <w:rPr>
      <w:b/>
      <w:bCs/>
      <w:sz w:val="20"/>
      <w:szCs w:val="20"/>
    </w:rPr>
  </w:style>
  <w:style w:type="paragraph" w:styleId="Header">
    <w:name w:val="header"/>
    <w:basedOn w:val="Normal"/>
    <w:link w:val="HeaderChar"/>
    <w:uiPriority w:val="99"/>
    <w:unhideWhenUsed/>
    <w:rsid w:val="008A49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9C6"/>
  </w:style>
  <w:style w:type="paragraph" w:styleId="Footer">
    <w:name w:val="footer"/>
    <w:basedOn w:val="Normal"/>
    <w:link w:val="FooterChar"/>
    <w:uiPriority w:val="99"/>
    <w:unhideWhenUsed/>
    <w:rsid w:val="008A49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9C6"/>
  </w:style>
  <w:style w:type="character" w:customStyle="1" w:styleId="UnresolvedMention1">
    <w:name w:val="Unresolved Mention1"/>
    <w:basedOn w:val="DefaultParagraphFont"/>
    <w:uiPriority w:val="99"/>
    <w:semiHidden/>
    <w:unhideWhenUsed/>
    <w:rsid w:val="00685A53"/>
    <w:rPr>
      <w:color w:val="605E5C"/>
      <w:shd w:val="clear" w:color="auto" w:fill="E1DFDD"/>
    </w:rPr>
  </w:style>
  <w:style w:type="paragraph" w:styleId="FootnoteText">
    <w:name w:val="footnote text"/>
    <w:basedOn w:val="Normal"/>
    <w:link w:val="FootnoteTextChar"/>
    <w:uiPriority w:val="99"/>
    <w:semiHidden/>
    <w:unhideWhenUsed/>
    <w:rsid w:val="002551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551B9"/>
    <w:rPr>
      <w:sz w:val="20"/>
      <w:szCs w:val="20"/>
    </w:rPr>
  </w:style>
  <w:style w:type="character" w:styleId="FootnoteReference">
    <w:name w:val="footnote reference"/>
    <w:basedOn w:val="DefaultParagraphFont"/>
    <w:uiPriority w:val="99"/>
    <w:semiHidden/>
    <w:unhideWhenUsed/>
    <w:rsid w:val="002551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CCStgeorges@unfccc.i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fccc.int/secretariat/employment/consultancy.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pporting Document" ma:contentTypeID="0x0101008095AA79BAF3614C98AD5FA0C930E59C000391CB74978CFD4186C3D18776F9F414" ma:contentTypeVersion="7" ma:contentTypeDescription="Create a new document." ma:contentTypeScope="" ma:versionID="9962af1fe72d05bd205a994ad25e9eeb">
  <xsd:schema xmlns:xsd="http://www.w3.org/2001/XMLSchema" xmlns:xs="http://www.w3.org/2001/XMLSchema" xmlns:p="http://schemas.microsoft.com/office/2006/metadata/properties" xmlns:ns2="http://schemas.microsoft.com/sharepoint/v3/fields" xmlns:ns3="72bc5080-7568-4580-b303-80aa1efadb7c" xmlns:ns4="1fabc5c5-5834-425c-8f12-101eab18b045" targetNamespace="http://schemas.microsoft.com/office/2006/metadata/properties" ma:root="true" ma:fieldsID="88b2bb530c6d5bbc4e4f4a9f51376eeb" ns2:_="" ns3:_="" ns4:_="">
    <xsd:import namespace="http://schemas.microsoft.com/sharepoint/v3/fields"/>
    <xsd:import namespace="72bc5080-7568-4580-b303-80aa1efadb7c"/>
    <xsd:import namespace="1fabc5c5-5834-425c-8f12-101eab18b045"/>
    <xsd:element name="properties">
      <xsd:complexType>
        <xsd:sequence>
          <xsd:element name="documentManagement">
            <xsd:complexType>
              <xsd:all>
                <xsd:element ref="ns2:Description" minOccurs="0"/>
                <xsd:element ref="ns3:ge0b8a83bd4644a297bc8c982d6638a5" minOccurs="0"/>
                <xsd:element ref="ns4:TaxCatchAll" minOccurs="0"/>
                <xsd:element ref="ns4:TaxCatchAllLabel" minOccurs="0"/>
                <xsd:element ref="ns3:e83383dd16804ab2aa3600b4892611ef" minOccurs="0"/>
                <xsd:element ref="ns3:gf45839941354e2da62c038b9f2067c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8" nillable="true" ma:displayName="Description" ma:default="" ma:internalName="Description"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bc5080-7568-4580-b303-80aa1efadb7c" elementFormDefault="qualified">
    <xsd:import namespace="http://schemas.microsoft.com/office/2006/documentManagement/types"/>
    <xsd:import namespace="http://schemas.microsoft.com/office/infopath/2007/PartnerControls"/>
    <xsd:element name="ge0b8a83bd4644a297bc8c982d6638a5" ma:index="9" nillable="true" ma:taxonomy="true" ma:internalName="ge0b8a83bd4644a297bc8c982d6638a5" ma:taxonomyFieldName="Document_x0020_Types" ma:displayName="Document Types" ma:default="" ma:fieldId="{0e0b8a83-bd46-44a2-97bc-8c982d6638a5}" ma:sspId="ef8c3d84-7f92-45cd-b01d-56dc88a456fa" ma:termSetId="97072322-3d6a-40d1-a10e-90894fd43b94" ma:anchorId="00000000-0000-0000-0000-000000000000" ma:open="false" ma:isKeyword="false">
      <xsd:complexType>
        <xsd:sequence>
          <xsd:element ref="pc:Terms" minOccurs="0" maxOccurs="1"/>
        </xsd:sequence>
      </xsd:complexType>
    </xsd:element>
    <xsd:element name="e83383dd16804ab2aa3600b4892611ef" ma:index="13" nillable="true" ma:taxonomy="true" ma:internalName="e83383dd16804ab2aa3600b4892611ef" ma:taxonomyFieldName="Enterprise_x0020_Keywords" ma:displayName="Enterprise Keywords" ma:default="" ma:fieldId="{e83383dd-1680-4ab2-aa36-00b4892611ef}" ma:sspId="ef8c3d84-7f92-45cd-b01d-56dc88a456fa" ma:termSetId="ce16d9c3-1be4-4022-9de2-d4e314b4b7b7" ma:anchorId="00000000-0000-0000-0000-000000000000" ma:open="false" ma:isKeyword="false">
      <xsd:complexType>
        <xsd:sequence>
          <xsd:element ref="pc:Terms" minOccurs="0" maxOccurs="1"/>
        </xsd:sequence>
      </xsd:complexType>
    </xsd:element>
    <xsd:element name="gf45839941354e2da62c038b9f2067cd" ma:index="15" nillable="true" ma:taxonomy="true" ma:internalName="gf45839941354e2da62c038b9f2067cd" ma:taxonomyFieldName="Topics" ma:displayName="Topics" ma:default="" ma:fieldId="{0f458399-4135-4e2d-a62c-038b9f2067cd}" ma:sspId="ef8c3d84-7f92-45cd-b01d-56dc88a456fa" ma:termSetId="6d73896b-a30d-450f-931e-bcec54fbb45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fabc5c5-5834-425c-8f12-101eab18b045"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d26ab70-9104-4edc-9ee2-2839763c0860}" ma:internalName="TaxCatchAll" ma:showField="CatchAllData" ma:web="1fabc5c5-5834-425c-8f12-101eab18b04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5d26ab70-9104-4edc-9ee2-2839763c0860}" ma:internalName="TaxCatchAllLabel" ma:readOnly="true" ma:showField="CatchAllDataLabel" ma:web="1fabc5c5-5834-425c-8f12-101eab18b0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e0b8a83bd4644a297bc8c982d6638a5 xmlns="72bc5080-7568-4580-b303-80aa1efadb7c">
      <Terms xmlns="http://schemas.microsoft.com/office/infopath/2007/PartnerControls"/>
    </ge0b8a83bd4644a297bc8c982d6638a5>
    <e83383dd16804ab2aa3600b4892611ef xmlns="72bc5080-7568-4580-b303-80aa1efadb7c">
      <Terms xmlns="http://schemas.microsoft.com/office/infopath/2007/PartnerControls"/>
    </e83383dd16804ab2aa3600b4892611ef>
    <gf45839941354e2da62c038b9f2067cd xmlns="72bc5080-7568-4580-b303-80aa1efadb7c">
      <Terms xmlns="http://schemas.microsoft.com/office/infopath/2007/PartnerControls"/>
    </gf45839941354e2da62c038b9f2067cd>
    <TaxCatchAll xmlns="1fabc5c5-5834-425c-8f12-101eab18b04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0A963-541E-4DA5-BC91-521430CFF1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2bc5080-7568-4580-b303-80aa1efadb7c"/>
    <ds:schemaRef ds:uri="1fabc5c5-5834-425c-8f12-101eab18b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AF0E1A-289C-4DE2-A0A5-B25238B71C9B}">
  <ds:schemaRefs>
    <ds:schemaRef ds:uri="http://schemas.microsoft.com/sharepoint/v3/contenttype/forms"/>
  </ds:schemaRefs>
</ds:datastoreItem>
</file>

<file path=customXml/itemProps3.xml><?xml version="1.0" encoding="utf-8"?>
<ds:datastoreItem xmlns:ds="http://schemas.openxmlformats.org/officeDocument/2006/customXml" ds:itemID="{01C6BA22-7C7D-4508-8428-EC3360AF84CD}">
  <ds:schemaRefs>
    <ds:schemaRef ds:uri="http://schemas.microsoft.com/office/2006/metadata/properties"/>
    <ds:schemaRef ds:uri="http://schemas.microsoft.com/office/infopath/2007/PartnerControls"/>
    <ds:schemaRef ds:uri="72bc5080-7568-4580-b303-80aa1efadb7c"/>
    <ds:schemaRef ds:uri="1fabc5c5-5834-425c-8f12-101eab18b045"/>
  </ds:schemaRefs>
</ds:datastoreItem>
</file>

<file path=customXml/itemProps4.xml><?xml version="1.0" encoding="utf-8"?>
<ds:datastoreItem xmlns:ds="http://schemas.openxmlformats.org/officeDocument/2006/customXml" ds:itemID="{996B0270-9B60-4B83-8A09-23ED0826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1486</Words>
  <Characters>8178</Characters>
  <Application>Microsoft Office Word</Application>
  <DocSecurity>0</DocSecurity>
  <Lines>68</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TOR for consultancy</vt:lpstr>
      <vt:lpstr>TOR for consultancy</vt:lpstr>
    </vt:vector>
  </TitlesOfParts>
  <Company>UNFCCC</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 for consultancy</dc:title>
  <dc:creator>Namazzi Gloria</dc:creator>
  <cp:lastModifiedBy>Jeniffer Hanna</cp:lastModifiedBy>
  <cp:revision>4</cp:revision>
  <dcterms:created xsi:type="dcterms:W3CDTF">2019-12-09T11:17:00Z</dcterms:created>
  <dcterms:modified xsi:type="dcterms:W3CDTF">2019-12-09T11:20:00Z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0x0101008095AA79BAF3614C98AD5FA0C930E59C000391CB74978CFD4186C3D18776F9F414</vt:lpwstr>
  </property>
  <property fmtid="{D5CDD505-2E9C-101B-9397-08002B2CF9AE}" pid="3" name="Request ID">
    <vt:lpwstr>2019-01056</vt:lpwstr>
  </property>
  <property fmtid="{D5CDD505-2E9C-101B-9397-08002B2CF9AE}" pid="4" name="Document Types">
    <vt:lpwstr/>
  </property>
  <property fmtid="{D5CDD505-2E9C-101B-9397-08002B2CF9AE}" pid="5" name="Cleared by AS Director">
    <vt:lpwstr>No</vt:lpwstr>
  </property>
  <property fmtid="{D5CDD505-2E9C-101B-9397-08002B2CF9AE}" pid="6" name="LA Legal Officer">
    <vt:lpwstr/>
  </property>
  <property fmtid="{D5CDD505-2E9C-101B-9397-08002B2CF9AE}" pid="7" name="Cleared by DES">
    <vt:lpwstr>No</vt:lpwstr>
  </property>
  <property fmtid="{D5CDD505-2E9C-101B-9397-08002B2CF9AE}" pid="8" name="Cleared by LA Officer">
    <vt:lpwstr>No</vt:lpwstr>
  </property>
  <property fmtid="{D5CDD505-2E9C-101B-9397-08002B2CF9AE}" pid="9" name="Document category">
    <vt:lpwstr>N/A</vt:lpwstr>
  </property>
  <property fmtid="{D5CDD505-2E9C-101B-9397-08002B2CF9AE}" pid="10" name="LA Legal Officer 2">
    <vt:lpwstr/>
  </property>
  <property fmtid="{D5CDD505-2E9C-101B-9397-08002B2CF9AE}" pid="11" name="Topics">
    <vt:lpwstr/>
  </property>
  <property fmtid="{D5CDD505-2E9C-101B-9397-08002B2CF9AE}" pid="12" name="MP_InheritedTags">
    <vt:lpwstr>((un40)(un37)(un1))((un5395)(un57)(un38)(un1))((un12)(un5)(un2))((un23)(un6)(un2))((un26)(un10)(un2))((un33)(un7)(un2))((un58)(un36)(un1))((un67)(un59)(un3))((un830)(un690)(un676)(un675)(un3))</vt:lpwstr>
  </property>
  <property fmtid="{D5CDD505-2E9C-101B-9397-08002B2CF9AE}" pid="13" name="Cleared by AS Finance/Budget Officer">
    <vt:lpwstr>No</vt:lpwstr>
  </property>
  <property fmtid="{D5CDD505-2E9C-101B-9397-08002B2CF9AE}" pid="14" name="Cleared by HR">
    <vt:lpwstr>No</vt:lpwstr>
  </property>
  <property fmtid="{D5CDD505-2E9C-101B-9397-08002B2CF9AE}" pid="15" name="Programme">
    <vt:lpwstr/>
  </property>
  <property fmtid="{D5CDD505-2E9C-101B-9397-08002B2CF9AE}" pid="16" name="Cleared by LA Director">
    <vt:lpwstr>No</vt:lpwstr>
  </property>
  <property fmtid="{D5CDD505-2E9C-101B-9397-08002B2CF9AE}" pid="17" name="Enterprise Keywords">
    <vt:lpwstr/>
  </property>
</Properties>
</file>